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A1CA4" w:rsidRPr="000E354B" w:rsidRDefault="00382551">
      <w:pPr>
        <w:rPr>
          <w:b/>
        </w:rPr>
      </w:pPr>
      <w:r>
        <w:rPr>
          <w:b/>
        </w:rPr>
        <w:t>W</w:t>
      </w:r>
      <w:r w:rsidR="001B777E" w:rsidRPr="000E354B">
        <w:rPr>
          <w:b/>
        </w:rPr>
        <w:t xml:space="preserve">ater </w:t>
      </w:r>
      <w:r>
        <w:rPr>
          <w:b/>
        </w:rPr>
        <w:t xml:space="preserve">and </w:t>
      </w:r>
      <w:r w:rsidR="008D48F8">
        <w:rPr>
          <w:b/>
        </w:rPr>
        <w:t>N</w:t>
      </w:r>
      <w:r>
        <w:rPr>
          <w:b/>
        </w:rPr>
        <w:t xml:space="preserve">utrients </w:t>
      </w:r>
      <w:r w:rsidR="008D48F8">
        <w:rPr>
          <w:b/>
        </w:rPr>
        <w:t>C</w:t>
      </w:r>
      <w:r w:rsidR="001B777E" w:rsidRPr="000E354B">
        <w:rPr>
          <w:b/>
        </w:rPr>
        <w:t>o</w:t>
      </w:r>
      <w:r>
        <w:rPr>
          <w:b/>
        </w:rPr>
        <w:t xml:space="preserve">nservation in </w:t>
      </w:r>
      <w:proofErr w:type="spellStart"/>
      <w:r>
        <w:rPr>
          <w:b/>
        </w:rPr>
        <w:t>Syr</w:t>
      </w:r>
      <w:proofErr w:type="spellEnd"/>
      <w:r>
        <w:rPr>
          <w:b/>
        </w:rPr>
        <w:t xml:space="preserve"> Darya </w:t>
      </w:r>
      <w:r w:rsidR="008D48F8">
        <w:rPr>
          <w:b/>
        </w:rPr>
        <w:t>W</w:t>
      </w:r>
      <w:r>
        <w:rPr>
          <w:b/>
        </w:rPr>
        <w:t xml:space="preserve">atershed </w:t>
      </w:r>
      <w:r w:rsidR="008D48F8">
        <w:rPr>
          <w:b/>
        </w:rPr>
        <w:t>E</w:t>
      </w:r>
      <w:r>
        <w:rPr>
          <w:b/>
        </w:rPr>
        <w:t>xtent in</w:t>
      </w:r>
      <w:r w:rsidR="001B777E" w:rsidRPr="000E354B">
        <w:rPr>
          <w:b/>
        </w:rPr>
        <w:t xml:space="preserve"> Kazakhstan</w:t>
      </w:r>
    </w:p>
    <w:p w:rsidR="001B777E" w:rsidRDefault="001B777E">
      <w:r>
        <w:t xml:space="preserve">By, </w:t>
      </w:r>
      <w:proofErr w:type="spellStart"/>
      <w:r>
        <w:t>Raghavan</w:t>
      </w:r>
      <w:proofErr w:type="spellEnd"/>
      <w:r>
        <w:t xml:space="preserve"> Srinivasan, </w:t>
      </w:r>
      <w:r w:rsidR="00382551">
        <w:t xml:space="preserve">David </w:t>
      </w:r>
      <w:proofErr w:type="spellStart"/>
      <w:r w:rsidR="00382551">
        <w:t>Mulla</w:t>
      </w:r>
      <w:proofErr w:type="spellEnd"/>
      <w:r w:rsidR="00382551">
        <w:t xml:space="preserve">, </w:t>
      </w:r>
      <w:r>
        <w:t xml:space="preserve">Vinay Nangia, </w:t>
      </w:r>
      <w:r w:rsidR="008D48F8">
        <w:t xml:space="preserve">Simon Charre </w:t>
      </w:r>
      <w:r>
        <w:t>and Iskandar Abdullaev</w:t>
      </w:r>
    </w:p>
    <w:p w:rsidR="00671D86" w:rsidRPr="00671D86" w:rsidRDefault="00671D86">
      <w:pPr>
        <w:rPr>
          <w:b/>
        </w:rPr>
      </w:pPr>
      <w:r>
        <w:rPr>
          <w:b/>
        </w:rPr>
        <w:t>Introduction</w:t>
      </w:r>
    </w:p>
    <w:p w:rsidR="001B777E" w:rsidRDefault="001B777E" w:rsidP="008D48F8">
      <w:pPr>
        <w:jc w:val="both"/>
      </w:pPr>
      <w:r>
        <w:t xml:space="preserve">Flood irrigation of cotton is practiced in the </w:t>
      </w:r>
      <w:proofErr w:type="spellStart"/>
      <w:r w:rsidR="001174C1">
        <w:t>Syr</w:t>
      </w:r>
      <w:proofErr w:type="spellEnd"/>
      <w:r w:rsidR="001174C1">
        <w:t xml:space="preserve"> Darya</w:t>
      </w:r>
      <w:r>
        <w:t xml:space="preserve"> </w:t>
      </w:r>
      <w:r w:rsidR="008D48F8">
        <w:t>River W</w:t>
      </w:r>
      <w:r>
        <w:t xml:space="preserve">atershed of Kazakhstan. This practice is unsustainable due to seasonal </w:t>
      </w:r>
      <w:r w:rsidR="00006090">
        <w:t>unavailabi</w:t>
      </w:r>
      <w:r>
        <w:t>lity in water supply and depletion of river discharges that were historically important at maintaining water levels downstream in nearby wetlands and the Aral Sea.  Farmer surveys</w:t>
      </w:r>
      <w:r w:rsidR="00382551">
        <w:t xml:space="preserve"> and expert opinion</w:t>
      </w:r>
      <w:r w:rsidR="008D48F8">
        <w:t>s</w:t>
      </w:r>
      <w:r w:rsidR="00382551">
        <w:t xml:space="preserve"> from government officials</w:t>
      </w:r>
      <w:r>
        <w:t xml:space="preserve"> were used </w:t>
      </w:r>
      <w:r w:rsidR="008D48F8">
        <w:t xml:space="preserve">in </w:t>
      </w:r>
      <w:r>
        <w:t xml:space="preserve">Soil and Water Assessment Tool (SWAT) modeling to evaluate alternative irrigation practices and cropping systems that can </w:t>
      </w:r>
      <w:r w:rsidR="001174C1">
        <w:t xml:space="preserve">conserve water in the </w:t>
      </w:r>
      <w:proofErr w:type="spellStart"/>
      <w:r w:rsidR="001174C1">
        <w:t>Syr</w:t>
      </w:r>
      <w:proofErr w:type="spellEnd"/>
      <w:r w:rsidR="001174C1">
        <w:t xml:space="preserve"> Darya</w:t>
      </w:r>
      <w:r w:rsidR="00382551">
        <w:t xml:space="preserve"> River</w:t>
      </w:r>
      <w:r>
        <w:t xml:space="preserve"> </w:t>
      </w:r>
      <w:r w:rsidR="00382551">
        <w:t>while maintaining farmer productively level in a similar manner</w:t>
      </w:r>
      <w:r>
        <w:t xml:space="preserve">.  </w:t>
      </w:r>
    </w:p>
    <w:p w:rsidR="00671D86" w:rsidRPr="00671D86" w:rsidRDefault="00671D86">
      <w:pPr>
        <w:rPr>
          <w:b/>
        </w:rPr>
      </w:pPr>
      <w:r>
        <w:rPr>
          <w:b/>
        </w:rPr>
        <w:t>Objective</w:t>
      </w:r>
    </w:p>
    <w:p w:rsidR="00671D86" w:rsidRDefault="00671D86" w:rsidP="00671D86">
      <w:r>
        <w:t>The</w:t>
      </w:r>
      <w:r w:rsidR="008D48F8">
        <w:t xml:space="preserve"> objective of this sub-project wa</w:t>
      </w:r>
      <w:r>
        <w:t>s to identify a suite of ecosystem services that are affected by the alternative agricultural practices modeled with SWAT</w:t>
      </w:r>
      <w:r w:rsidR="00382551">
        <w:t>.</w:t>
      </w:r>
      <w:r>
        <w:t xml:space="preserve"> </w:t>
      </w:r>
    </w:p>
    <w:p w:rsidR="00671D86" w:rsidRDefault="00671D86" w:rsidP="00671D86">
      <w:r>
        <w:t>Alternative practices to be evaluated include</w:t>
      </w:r>
      <w:r w:rsidR="001C09CD">
        <w:t>d</w:t>
      </w:r>
      <w:r>
        <w:t>:</w:t>
      </w:r>
    </w:p>
    <w:p w:rsidR="00671D86" w:rsidRDefault="00671D86" w:rsidP="00671D86">
      <w:pPr>
        <w:pStyle w:val="ListParagraph"/>
        <w:numPr>
          <w:ilvl w:val="0"/>
          <w:numId w:val="2"/>
        </w:numPr>
      </w:pPr>
      <w:r>
        <w:t>Better irrigation water management (sprinkler and drip)</w:t>
      </w:r>
    </w:p>
    <w:p w:rsidR="00671D86" w:rsidRDefault="00671D86" w:rsidP="00671D86">
      <w:pPr>
        <w:pStyle w:val="ListParagraph"/>
        <w:numPr>
          <w:ilvl w:val="0"/>
          <w:numId w:val="2"/>
        </w:numPr>
      </w:pPr>
      <w:r>
        <w:t xml:space="preserve">Reduced fertilizer application </w:t>
      </w:r>
    </w:p>
    <w:p w:rsidR="00671D86" w:rsidRDefault="00671D86" w:rsidP="00671D86">
      <w:pPr>
        <w:pStyle w:val="ListParagraph"/>
        <w:numPr>
          <w:ilvl w:val="0"/>
          <w:numId w:val="2"/>
        </w:numPr>
      </w:pPr>
      <w:r>
        <w:t>Substitution of flood irrigated cotton with more water efficient crops (alfalfa, grapes</w:t>
      </w:r>
      <w:r w:rsidR="006F1C54">
        <w:t>, pomegranates</w:t>
      </w:r>
      <w:r>
        <w:t>)</w:t>
      </w:r>
    </w:p>
    <w:p w:rsidR="00671D86" w:rsidRDefault="00671D86" w:rsidP="00671D86">
      <w:r>
        <w:t>Impacts of alternative practices evaluated include</w:t>
      </w:r>
      <w:r w:rsidR="001C09CD">
        <w:t>d</w:t>
      </w:r>
      <w:r>
        <w:t>:</w:t>
      </w:r>
    </w:p>
    <w:p w:rsidR="00671D86" w:rsidRDefault="00671D86" w:rsidP="00671D86">
      <w:pPr>
        <w:pStyle w:val="ListParagraph"/>
        <w:numPr>
          <w:ilvl w:val="0"/>
          <w:numId w:val="3"/>
        </w:numPr>
      </w:pPr>
      <w:r>
        <w:t>Improvements in water conservation through reduced irrigation demand from agricultural lands</w:t>
      </w:r>
    </w:p>
    <w:p w:rsidR="00671D86" w:rsidRDefault="00671D86" w:rsidP="00671D86">
      <w:pPr>
        <w:pStyle w:val="ListParagraph"/>
        <w:numPr>
          <w:ilvl w:val="0"/>
          <w:numId w:val="3"/>
        </w:numPr>
      </w:pPr>
      <w:r>
        <w:t xml:space="preserve">Improvements in water quality (reduced phosphorus, nitrogen and sediment losses from farms) </w:t>
      </w:r>
    </w:p>
    <w:p w:rsidR="00671D86" w:rsidRPr="00671D86" w:rsidRDefault="00671D86">
      <w:pPr>
        <w:rPr>
          <w:b/>
        </w:rPr>
      </w:pPr>
      <w:r>
        <w:rPr>
          <w:b/>
        </w:rPr>
        <w:t>Methods</w:t>
      </w:r>
    </w:p>
    <w:p w:rsidR="009B2C9A" w:rsidRDefault="009B2C9A" w:rsidP="00BA28FC">
      <w:pPr>
        <w:jc w:val="both"/>
      </w:pPr>
      <w:r>
        <w:t xml:space="preserve">As shown in the Figure 1, the watershed of </w:t>
      </w:r>
      <w:proofErr w:type="spellStart"/>
      <w:r>
        <w:t>Syr</w:t>
      </w:r>
      <w:proofErr w:type="spellEnd"/>
      <w:r>
        <w:t xml:space="preserve"> Darya was simulated for the period of 1981 to 2013 with the available reservoir release data from </w:t>
      </w:r>
      <w:proofErr w:type="spellStart"/>
      <w:r w:rsidR="001C09CD">
        <w:t>C</w:t>
      </w:r>
      <w:r>
        <w:t>hardara</w:t>
      </w:r>
      <w:proofErr w:type="spellEnd"/>
      <w:r>
        <w:t xml:space="preserve"> </w:t>
      </w:r>
      <w:r w:rsidR="001C09CD">
        <w:t>D</w:t>
      </w:r>
      <w:r>
        <w:t>am for the</w:t>
      </w:r>
      <w:r w:rsidR="001C09CD">
        <w:t xml:space="preserve"> period of 2009 to 2013. In </w:t>
      </w:r>
      <w:r>
        <w:t>Figure 1</w:t>
      </w:r>
      <w:r w:rsidR="001C09CD">
        <w:t>,</w:t>
      </w:r>
      <w:r>
        <w:t xml:space="preserve"> it</w:t>
      </w:r>
      <w:r w:rsidR="00EA74BA">
        <w:t xml:space="preserve"> is</w:t>
      </w:r>
      <w:r>
        <w:t xml:space="preserve"> also shown </w:t>
      </w:r>
      <w:r w:rsidR="00BA28FC">
        <w:t>(</w:t>
      </w:r>
      <w:r>
        <w:t>in red color</w:t>
      </w:r>
      <w:r w:rsidR="00BA28FC">
        <w:t>)</w:t>
      </w:r>
      <w:r>
        <w:t xml:space="preserve"> </w:t>
      </w:r>
      <w:proofErr w:type="spellStart"/>
      <w:r>
        <w:t>Bugunski</w:t>
      </w:r>
      <w:proofErr w:type="spellEnd"/>
      <w:r>
        <w:t xml:space="preserve"> reservoir where most of the data were collected from surveys for this study.</w:t>
      </w:r>
      <w:r w:rsidR="00EA74BA">
        <w:t xml:space="preserve"> The modeled watershed was divided into 68 </w:t>
      </w:r>
      <w:proofErr w:type="spellStart"/>
      <w:r w:rsidR="00EA74BA">
        <w:t>subbasins</w:t>
      </w:r>
      <w:proofErr w:type="spellEnd"/>
      <w:r w:rsidR="00EA74BA">
        <w:t>.</w:t>
      </w:r>
    </w:p>
    <w:p w:rsidR="001B777E" w:rsidRDefault="001B777E" w:rsidP="00BA28FC">
      <w:pPr>
        <w:jc w:val="both"/>
      </w:pPr>
      <w:r>
        <w:t xml:space="preserve">Farmer </w:t>
      </w:r>
      <w:r w:rsidR="00382551">
        <w:t xml:space="preserve">sample </w:t>
      </w:r>
      <w:r>
        <w:t xml:space="preserve">surveys </w:t>
      </w:r>
      <w:r w:rsidR="00334486">
        <w:t xml:space="preserve">were conducted </w:t>
      </w:r>
      <w:r>
        <w:t xml:space="preserve">in the </w:t>
      </w:r>
      <w:proofErr w:type="spellStart"/>
      <w:r w:rsidR="00334486">
        <w:t>Bugun</w:t>
      </w:r>
      <w:proofErr w:type="spellEnd"/>
      <w:r w:rsidR="00334486">
        <w:t xml:space="preserve">, </w:t>
      </w:r>
      <w:proofErr w:type="spellStart"/>
      <w:r w:rsidR="00334486">
        <w:t>Steri</w:t>
      </w:r>
      <w:proofErr w:type="spellEnd"/>
      <w:r w:rsidR="00334486">
        <w:t xml:space="preserve"> </w:t>
      </w:r>
      <w:proofErr w:type="spellStart"/>
      <w:r w:rsidR="00334486">
        <w:t>Ikan</w:t>
      </w:r>
      <w:proofErr w:type="spellEnd"/>
      <w:r w:rsidR="00334486">
        <w:t xml:space="preserve"> and </w:t>
      </w:r>
      <w:proofErr w:type="spellStart"/>
      <w:r w:rsidR="00334486">
        <w:t>Karachik</w:t>
      </w:r>
      <w:proofErr w:type="spellEnd"/>
      <w:r w:rsidR="00334486">
        <w:t xml:space="preserve"> villages downstream of the </w:t>
      </w:r>
      <w:proofErr w:type="spellStart"/>
      <w:r w:rsidR="00334486">
        <w:t>Bugunski</w:t>
      </w:r>
      <w:proofErr w:type="spellEnd"/>
      <w:r w:rsidR="00334486">
        <w:t xml:space="preserve"> reservoir</w:t>
      </w:r>
      <w:r w:rsidR="001174C1">
        <w:t xml:space="preserve"> (a tributary river of the </w:t>
      </w:r>
      <w:proofErr w:type="spellStart"/>
      <w:r w:rsidR="001174C1">
        <w:t>Syr</w:t>
      </w:r>
      <w:proofErr w:type="spellEnd"/>
      <w:r w:rsidR="001174C1">
        <w:t xml:space="preserve"> Darya)</w:t>
      </w:r>
      <w:r w:rsidR="00334486">
        <w:t xml:space="preserve">.  Population of these villages is estimated at 4,100; 14,500; and 9,205 people, respectively.  Surveys assessed cropping systems and irrigation practices used by farmers, along with costs of fertilizer inputs and prices paid to farmers for their crops.  Survey results indicated that up to 60% of the farmers in these villages were willing to change from flood irrigated cotton to alternative irrigation methods and cropping systems. These alternatives could include drip irrigated </w:t>
      </w:r>
      <w:r w:rsidR="00334486">
        <w:lastRenderedPageBreak/>
        <w:t>cotton, drip irrigated orchard crops (e.g. pomegranates or grapes), and sprinkler irrigated alfalfa.</w:t>
      </w:r>
      <w:r w:rsidR="009B2C9A">
        <w:rPr>
          <w:noProof/>
        </w:rPr>
        <w:drawing>
          <wp:inline distT="0" distB="0" distL="0" distR="0">
            <wp:extent cx="5735061" cy="7421880"/>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hardarawatershed.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40141" cy="7428455"/>
                    </a:xfrm>
                    <a:prstGeom prst="rect">
                      <a:avLst/>
                    </a:prstGeom>
                  </pic:spPr>
                </pic:pic>
              </a:graphicData>
            </a:graphic>
          </wp:inline>
        </w:drawing>
      </w:r>
    </w:p>
    <w:p w:rsidR="003E304F" w:rsidRDefault="003E304F">
      <w:r>
        <w:t xml:space="preserve">Figure 1. </w:t>
      </w:r>
      <w:proofErr w:type="spellStart"/>
      <w:r>
        <w:t>Syr</w:t>
      </w:r>
      <w:proofErr w:type="spellEnd"/>
      <w:r>
        <w:t xml:space="preserve"> Darya river watershed from </w:t>
      </w:r>
      <w:proofErr w:type="spellStart"/>
      <w:r w:rsidR="00BA28FC">
        <w:t>Chardara</w:t>
      </w:r>
      <w:proofErr w:type="spellEnd"/>
      <w:r w:rsidR="00BA28FC">
        <w:t xml:space="preserve"> Dam</w:t>
      </w:r>
      <w:r>
        <w:t xml:space="preserve"> (</w:t>
      </w:r>
      <w:r w:rsidR="00BA28FC">
        <w:t>r</w:t>
      </w:r>
      <w:r>
        <w:t xml:space="preserve">ed outline is the </w:t>
      </w:r>
      <w:proofErr w:type="spellStart"/>
      <w:r>
        <w:t>Bugunski</w:t>
      </w:r>
      <w:proofErr w:type="spellEnd"/>
      <w:r>
        <w:t xml:space="preserve"> reservoir watershed)</w:t>
      </w:r>
      <w:r w:rsidR="00BA28FC">
        <w:t>.</w:t>
      </w:r>
    </w:p>
    <w:p w:rsidR="004D72FD" w:rsidRDefault="00382551" w:rsidP="00BA28FC">
      <w:pPr>
        <w:jc w:val="both"/>
      </w:pPr>
      <w:r>
        <w:lastRenderedPageBreak/>
        <w:t>The SWAT model,</w:t>
      </w:r>
      <w:r w:rsidR="004D72FD">
        <w:t xml:space="preserve"> is a biophysical model that is used to simulate the impacts of alternative land use management practices on crop yield, stream discharge, and water quality.  It requires input data for daily weather, soil properties, elevation, </w:t>
      </w:r>
      <w:proofErr w:type="gramStart"/>
      <w:r w:rsidR="004D72FD">
        <w:t>land</w:t>
      </w:r>
      <w:proofErr w:type="gramEnd"/>
      <w:r w:rsidR="004D72FD">
        <w:t xml:space="preserve"> use and crop management.  </w:t>
      </w:r>
      <w:r>
        <w:t xml:space="preserve">The data collected from the </w:t>
      </w:r>
      <w:r w:rsidR="001174C1">
        <w:t xml:space="preserve">limited </w:t>
      </w:r>
      <w:r>
        <w:t>survey and expert opinions were used as input into the SWAT model to setup</w:t>
      </w:r>
      <w:r w:rsidR="001174C1">
        <w:t xml:space="preserve"> the entire </w:t>
      </w:r>
      <w:proofErr w:type="spellStart"/>
      <w:r w:rsidR="001174C1">
        <w:t>Syr</w:t>
      </w:r>
      <w:proofErr w:type="spellEnd"/>
      <w:r w:rsidR="001174C1">
        <w:t xml:space="preserve"> Darya</w:t>
      </w:r>
      <w:r>
        <w:t xml:space="preserve"> river basin from the Kazakhstan country border based on the </w:t>
      </w:r>
      <w:r w:rsidR="001174C1">
        <w:t xml:space="preserve">water </w:t>
      </w:r>
      <w:r>
        <w:t xml:space="preserve">release from the </w:t>
      </w:r>
      <w:proofErr w:type="spellStart"/>
      <w:r w:rsidR="00BA28FC">
        <w:t>C</w:t>
      </w:r>
      <w:r>
        <w:t>hardara</w:t>
      </w:r>
      <w:proofErr w:type="spellEnd"/>
      <w:r>
        <w:t xml:space="preserve"> dam</w:t>
      </w:r>
      <w:r w:rsidR="001174C1">
        <w:t xml:space="preserve"> during 2009-2013 monthly data</w:t>
      </w:r>
      <w:r>
        <w:t>.</w:t>
      </w:r>
    </w:p>
    <w:p w:rsidR="00051C67" w:rsidRDefault="00051C67" w:rsidP="00BA28FC">
      <w:pPr>
        <w:jc w:val="both"/>
      </w:pPr>
      <w:r>
        <w:t xml:space="preserve">Initially using the baseline data, the SWAT model was setup to </w:t>
      </w:r>
      <w:proofErr w:type="spellStart"/>
      <w:r>
        <w:t>Bugunski</w:t>
      </w:r>
      <w:proofErr w:type="spellEnd"/>
      <w:r>
        <w:t xml:space="preserve"> reservoir such as cropping patterns, cropping management, water requirement, nutrient management etc. to make sure model was producing reasonable results. Only few gaging data for limited time were available to calibrate the flow. Then the calibrated model parameters were transferred to the large </w:t>
      </w:r>
      <w:proofErr w:type="spellStart"/>
      <w:r>
        <w:t>Syr</w:t>
      </w:r>
      <w:proofErr w:type="spellEnd"/>
      <w:r>
        <w:t xml:space="preserve"> Darya </w:t>
      </w:r>
      <w:r w:rsidR="00BA28FC">
        <w:t>R</w:t>
      </w:r>
      <w:r>
        <w:t xml:space="preserve">iver </w:t>
      </w:r>
      <w:r w:rsidR="00BA28FC">
        <w:t>W</w:t>
      </w:r>
      <w:r>
        <w:t xml:space="preserve">atershed to simulate the entire large basin flowing into Aral Sea. There were not enough data to calibrate spatially or temporally across the large basin. </w:t>
      </w:r>
    </w:p>
    <w:p w:rsidR="00671D86" w:rsidRDefault="00671D86" w:rsidP="004D72FD">
      <w:pPr>
        <w:rPr>
          <w:b/>
        </w:rPr>
      </w:pPr>
      <w:r>
        <w:rPr>
          <w:b/>
        </w:rPr>
        <w:t>Results</w:t>
      </w:r>
    </w:p>
    <w:p w:rsidR="0020366B" w:rsidRDefault="0014370E" w:rsidP="00BA28FC">
      <w:pPr>
        <w:jc w:val="both"/>
      </w:pPr>
      <w:r>
        <w:t>The total modeled watershed is 119,500 km</w:t>
      </w:r>
      <w:r w:rsidRPr="00BA28FC">
        <w:rPr>
          <w:vertAlign w:val="superscript"/>
        </w:rPr>
        <w:t>2</w:t>
      </w:r>
      <w:r>
        <w:t xml:space="preserve"> from </w:t>
      </w:r>
      <w:proofErr w:type="spellStart"/>
      <w:r w:rsidR="00BA28FC">
        <w:t>C</w:t>
      </w:r>
      <w:r>
        <w:t>hardara</w:t>
      </w:r>
      <w:proofErr w:type="spellEnd"/>
      <w:r>
        <w:t xml:space="preserve"> </w:t>
      </w:r>
      <w:r w:rsidR="00BA28FC">
        <w:t>D</w:t>
      </w:r>
      <w:r w:rsidR="000D1F74">
        <w:t xml:space="preserve">am to Aral </w:t>
      </w:r>
      <w:r w:rsidR="00BA28FC">
        <w:t>S</w:t>
      </w:r>
      <w:r w:rsidR="000D1F74">
        <w:t>ea (Figure 1).</w:t>
      </w:r>
      <w:r w:rsidR="003E304F">
        <w:t xml:space="preserve"> Based on the baseline model setup of existing </w:t>
      </w:r>
      <w:proofErr w:type="spellStart"/>
      <w:r w:rsidR="003E304F">
        <w:t>landuse</w:t>
      </w:r>
      <w:proofErr w:type="spellEnd"/>
      <w:r w:rsidR="003E304F">
        <w:t xml:space="preserve"> and simulation of 1981-2013 period, the average annual </w:t>
      </w:r>
      <w:r w:rsidR="0020366B">
        <w:t>h</w:t>
      </w:r>
      <w:r w:rsidR="003E304F">
        <w:t>ydro</w:t>
      </w:r>
      <w:r w:rsidR="00BA28FC">
        <w:t>lo</w:t>
      </w:r>
      <w:r w:rsidR="003E304F">
        <w:t xml:space="preserve">gic watershed </w:t>
      </w:r>
      <w:r w:rsidR="00051C67">
        <w:t>budget is</w:t>
      </w:r>
      <w:r w:rsidR="003E304F">
        <w:t xml:space="preserve"> sho</w:t>
      </w:r>
      <w:r w:rsidR="0020366B">
        <w:t>w</w:t>
      </w:r>
      <w:r w:rsidR="003E304F">
        <w:t xml:space="preserve">n in Figure 2. </w:t>
      </w:r>
    </w:p>
    <w:p w:rsidR="0014370E" w:rsidRDefault="003E304F" w:rsidP="004D72FD">
      <w:r w:rsidRPr="003E304F">
        <w:rPr>
          <w:noProof/>
        </w:rPr>
        <w:drawing>
          <wp:inline distT="0" distB="0" distL="0" distR="0" wp14:anchorId="0208F2F8" wp14:editId="225F7901">
            <wp:extent cx="4959985" cy="4168140"/>
            <wp:effectExtent l="0" t="0" r="0" b="3810"/>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6"/>
                    <a:stretch>
                      <a:fillRect/>
                    </a:stretch>
                  </pic:blipFill>
                  <pic:spPr>
                    <a:xfrm>
                      <a:off x="0" y="0"/>
                      <a:ext cx="4973301" cy="4179330"/>
                    </a:xfrm>
                    <a:prstGeom prst="rect">
                      <a:avLst/>
                    </a:prstGeom>
                  </pic:spPr>
                </pic:pic>
              </a:graphicData>
            </a:graphic>
          </wp:inline>
        </w:drawing>
      </w:r>
    </w:p>
    <w:p w:rsidR="003E304F" w:rsidRDefault="003E304F" w:rsidP="004D72FD">
      <w:r>
        <w:t xml:space="preserve">Figure 2: Hydrologic water budget of the </w:t>
      </w:r>
      <w:proofErr w:type="spellStart"/>
      <w:r w:rsidR="00735296">
        <w:t>Syr</w:t>
      </w:r>
      <w:proofErr w:type="spellEnd"/>
      <w:r w:rsidR="00735296">
        <w:t xml:space="preserve"> Darya </w:t>
      </w:r>
      <w:r>
        <w:t>basin 1981-2013.</w:t>
      </w:r>
    </w:p>
    <w:p w:rsidR="003E304F" w:rsidRDefault="003E304F" w:rsidP="00BA28FC">
      <w:pPr>
        <w:jc w:val="both"/>
      </w:pPr>
      <w:r>
        <w:lastRenderedPageBreak/>
        <w:t>With the average annual rainfall of 339.1 mm</w:t>
      </w:r>
      <w:r w:rsidR="00BA28FC">
        <w:t xml:space="preserve"> of which 230 mm i</w:t>
      </w:r>
      <w:r w:rsidR="00051C67">
        <w:t>s</w:t>
      </w:r>
      <w:r>
        <w:t xml:space="preserve"> the evapotranspiration (ET) with about 109</w:t>
      </w:r>
      <w:r w:rsidR="00BA28FC">
        <w:t xml:space="preserve"> </w:t>
      </w:r>
      <w:r>
        <w:t>mm of water yield from the 115,900 km</w:t>
      </w:r>
      <w:r w:rsidRPr="00BA28FC">
        <w:rPr>
          <w:vertAlign w:val="superscript"/>
        </w:rPr>
        <w:t>2</w:t>
      </w:r>
      <w:r w:rsidR="00BA28FC">
        <w:t xml:space="preserve"> watershed. This shows a long-</w:t>
      </w:r>
      <w:r>
        <w:t>term average of 68% of the hydrol</w:t>
      </w:r>
      <w:r w:rsidR="00051C67">
        <w:t>ogic budget was the ET and 32% was</w:t>
      </w:r>
      <w:r>
        <w:t xml:space="preserve"> </w:t>
      </w:r>
      <w:r w:rsidR="00BA28FC">
        <w:t>the streamflow</w:t>
      </w:r>
      <w:proofErr w:type="gramStart"/>
      <w:r w:rsidR="00BA28FC">
        <w:t>,</w:t>
      </w:r>
      <w:r w:rsidR="00051C67">
        <w:t xml:space="preserve">  31</w:t>
      </w:r>
      <w:proofErr w:type="gramEnd"/>
      <w:r w:rsidR="00051C67">
        <w:t xml:space="preserve">% of streamflow was </w:t>
      </w:r>
      <w:proofErr w:type="spellStart"/>
      <w:r w:rsidR="00051C67">
        <w:t>baseflow</w:t>
      </w:r>
      <w:proofErr w:type="spellEnd"/>
      <w:r w:rsidR="00051C67">
        <w:t xml:space="preserve"> and 69% was</w:t>
      </w:r>
      <w:r>
        <w:t xml:space="preserve"> direct runoff. The </w:t>
      </w:r>
      <w:proofErr w:type="spellStart"/>
      <w:r>
        <w:t>landuse</w:t>
      </w:r>
      <w:proofErr w:type="spellEnd"/>
      <w:r>
        <w:t xml:space="preserve"> distribution of the watershed is shown in Figure 3.</w:t>
      </w:r>
    </w:p>
    <w:p w:rsidR="003E304F" w:rsidRDefault="003E304F" w:rsidP="004D72FD">
      <w:r w:rsidRPr="003E304F">
        <w:rPr>
          <w:noProof/>
        </w:rPr>
        <w:drawing>
          <wp:inline distT="0" distB="0" distL="0" distR="0" wp14:anchorId="1E380D43" wp14:editId="2480C5A1">
            <wp:extent cx="5943600" cy="3639820"/>
            <wp:effectExtent l="0" t="0" r="0" b="1778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A841C0" w:rsidRDefault="00A841C0" w:rsidP="004D72FD">
      <w:r>
        <w:t xml:space="preserve">Figure 3: </w:t>
      </w:r>
      <w:proofErr w:type="spellStart"/>
      <w:r>
        <w:t>Landuse</w:t>
      </w:r>
      <w:proofErr w:type="spellEnd"/>
      <w:r>
        <w:t xml:space="preserve"> distribution of the </w:t>
      </w:r>
      <w:proofErr w:type="spellStart"/>
      <w:r>
        <w:t>Syr</w:t>
      </w:r>
      <w:proofErr w:type="spellEnd"/>
      <w:r>
        <w:t xml:space="preserve"> Darya </w:t>
      </w:r>
      <w:r w:rsidR="00BA28FC">
        <w:t>River W</w:t>
      </w:r>
      <w:r>
        <w:t>atershed.</w:t>
      </w:r>
    </w:p>
    <w:p w:rsidR="00A841C0" w:rsidRDefault="00A841C0" w:rsidP="00BA28FC">
      <w:pPr>
        <w:jc w:val="both"/>
      </w:pPr>
      <w:r>
        <w:t>Table 1 shows</w:t>
      </w:r>
      <w:r w:rsidR="00051C67">
        <w:t xml:space="preserve"> average annual SWAT simulated output for</w:t>
      </w:r>
      <w:r>
        <w:t xml:space="preserve"> hydrologic budget, sediment yield and </w:t>
      </w:r>
      <w:r w:rsidR="00BA28FC">
        <w:t>n</w:t>
      </w:r>
      <w:r>
        <w:t>itrogen yields for the period of 1981-2013.</w:t>
      </w:r>
      <w:r w:rsidR="00051C67">
        <w:t xml:space="preserve"> Most of the irrigation were for the </w:t>
      </w:r>
      <w:r w:rsidR="00BA28FC">
        <w:t>winter wheat in the south</w:t>
      </w:r>
      <w:r w:rsidR="00051C67">
        <w:t xml:space="preserve">east part of the watershed, </w:t>
      </w:r>
      <w:r w:rsidR="00BA28FC">
        <w:t>r</w:t>
      </w:r>
      <w:r w:rsidR="00051C67">
        <w:t xml:space="preserve">ice along the major river with irrigation canals in the flood plains, </w:t>
      </w:r>
      <w:r w:rsidR="00BA28FC">
        <w:t>c</w:t>
      </w:r>
      <w:r w:rsidR="00051C67">
        <w:t xml:space="preserve">otton were mostly grown in </w:t>
      </w:r>
      <w:proofErr w:type="spellStart"/>
      <w:r w:rsidR="00051C67">
        <w:t>Bugunski</w:t>
      </w:r>
      <w:proofErr w:type="spellEnd"/>
      <w:r w:rsidR="00051C67">
        <w:t xml:space="preserve"> reservoir area and </w:t>
      </w:r>
      <w:r w:rsidR="00BA28FC">
        <w:t>c</w:t>
      </w:r>
      <w:r w:rsidR="00051C67">
        <w:t>orn were above the floodplains also along the river.</w:t>
      </w:r>
      <w:r w:rsidR="008772F6">
        <w:t xml:space="preserve"> The agricultural land was only 9% of the </w:t>
      </w:r>
      <w:r w:rsidR="00BA28FC">
        <w:t xml:space="preserve">total </w:t>
      </w:r>
      <w:r w:rsidR="008772F6">
        <w:t>watershed</w:t>
      </w:r>
      <w:r w:rsidR="00BA28FC">
        <w:t xml:space="preserve"> area</w:t>
      </w:r>
      <w:r w:rsidR="008772F6">
        <w:t>. Most of the sediments com</w:t>
      </w:r>
      <w:r w:rsidR="00BA28FC">
        <w:t>e</w:t>
      </w:r>
      <w:r w:rsidR="008772F6">
        <w:t xml:space="preserve"> from the steep slop</w:t>
      </w:r>
      <w:r w:rsidR="00BA28FC">
        <w:t>es with barren or very sparsely-</w:t>
      </w:r>
      <w:r w:rsidR="008772F6">
        <w:t xml:space="preserve">vegetated land with cool season grass. Cotton, </w:t>
      </w:r>
      <w:r w:rsidR="00BA28FC">
        <w:t>c</w:t>
      </w:r>
      <w:r w:rsidR="008772F6">
        <w:t xml:space="preserve">orn and </w:t>
      </w:r>
      <w:r w:rsidR="00BA28FC">
        <w:t>r</w:t>
      </w:r>
      <w:r w:rsidR="008772F6">
        <w:t xml:space="preserve">ice use most of the water for irrigation in this watershed. With </w:t>
      </w:r>
      <w:r w:rsidR="00BA28FC">
        <w:t>c</w:t>
      </w:r>
      <w:r w:rsidR="008772F6">
        <w:t>otton being the largest consum</w:t>
      </w:r>
      <w:r w:rsidR="00BA28FC">
        <w:t>er</w:t>
      </w:r>
      <w:r w:rsidR="008772F6">
        <w:t xml:space="preserve"> of the water for irrigation with about 3% of the watershed in cultivated area.  Also several of these landscapes </w:t>
      </w:r>
      <w:r w:rsidR="00BA28FC">
        <w:t>have</w:t>
      </w:r>
      <w:r w:rsidR="008772F6">
        <w:t xml:space="preserve"> degraded due to excess grazing by sheep and goats.</w:t>
      </w:r>
    </w:p>
    <w:tbl>
      <w:tblPr>
        <w:tblW w:w="9266" w:type="dxa"/>
        <w:tblCellMar>
          <w:left w:w="0" w:type="dxa"/>
          <w:right w:w="0" w:type="dxa"/>
        </w:tblCellMar>
        <w:tblLook w:val="0600" w:firstRow="0" w:lastRow="0" w:firstColumn="0" w:lastColumn="0" w:noHBand="1" w:noVBand="1"/>
      </w:tblPr>
      <w:tblGrid>
        <w:gridCol w:w="775"/>
        <w:gridCol w:w="919"/>
        <w:gridCol w:w="646"/>
        <w:gridCol w:w="854"/>
        <w:gridCol w:w="696"/>
        <w:gridCol w:w="646"/>
        <w:gridCol w:w="646"/>
        <w:gridCol w:w="809"/>
        <w:gridCol w:w="882"/>
        <w:gridCol w:w="543"/>
        <w:gridCol w:w="544"/>
        <w:gridCol w:w="770"/>
        <w:gridCol w:w="536"/>
      </w:tblGrid>
      <w:tr w:rsidR="00A841C0" w:rsidRPr="00A841C0" w:rsidTr="00BA28FC">
        <w:trPr>
          <w:trHeight w:val="221"/>
          <w:tblHeader/>
        </w:trPr>
        <w:tc>
          <w:tcPr>
            <w:tcW w:w="775"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bottom"/>
            <w:hideMark/>
          </w:tcPr>
          <w:p w:rsidR="00A841C0" w:rsidRPr="00A841C0" w:rsidRDefault="00A841C0" w:rsidP="00BA28FC">
            <w:pPr>
              <w:spacing w:after="0" w:line="240" w:lineRule="auto"/>
              <w:jc w:val="center"/>
            </w:pPr>
            <w:proofErr w:type="spellStart"/>
            <w:r w:rsidRPr="00A841C0">
              <w:t>Landuse</w:t>
            </w:r>
            <w:proofErr w:type="spellEnd"/>
          </w:p>
        </w:tc>
        <w:tc>
          <w:tcPr>
            <w:tcW w:w="91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bottom"/>
            <w:hideMark/>
          </w:tcPr>
          <w:p w:rsidR="00A841C0" w:rsidRPr="00A841C0" w:rsidRDefault="00A841C0" w:rsidP="00BA28FC">
            <w:pPr>
              <w:spacing w:after="0" w:line="240" w:lineRule="auto"/>
              <w:jc w:val="center"/>
            </w:pPr>
            <w:r w:rsidRPr="00A841C0">
              <w:t>Area Km</w:t>
            </w:r>
            <w:r w:rsidRPr="00BA28FC">
              <w:rPr>
                <w:vertAlign w:val="superscript"/>
              </w:rPr>
              <w:t>2</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bottom"/>
            <w:hideMark/>
          </w:tcPr>
          <w:p w:rsidR="00A841C0" w:rsidRPr="00A841C0" w:rsidRDefault="00A841C0" w:rsidP="00BA28FC">
            <w:pPr>
              <w:spacing w:after="0" w:line="240" w:lineRule="auto"/>
              <w:jc w:val="center"/>
            </w:pPr>
            <w:r w:rsidRPr="00A841C0">
              <w:t>AWC mm</w:t>
            </w:r>
          </w:p>
        </w:tc>
        <w:tc>
          <w:tcPr>
            <w:tcW w:w="854"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bottom"/>
            <w:hideMark/>
          </w:tcPr>
          <w:p w:rsidR="00A841C0" w:rsidRPr="00A841C0" w:rsidRDefault="00A841C0" w:rsidP="00BA28FC">
            <w:pPr>
              <w:spacing w:after="0" w:line="240" w:lineRule="auto"/>
              <w:jc w:val="center"/>
            </w:pPr>
            <w:r w:rsidRPr="00A841C0">
              <w:t>Irrigation mm</w:t>
            </w:r>
          </w:p>
        </w:tc>
        <w:tc>
          <w:tcPr>
            <w:tcW w:w="69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bottom"/>
            <w:hideMark/>
          </w:tcPr>
          <w:p w:rsidR="00A841C0" w:rsidRPr="00A841C0" w:rsidRDefault="00A841C0" w:rsidP="00BA28FC">
            <w:pPr>
              <w:spacing w:after="0" w:line="240" w:lineRule="auto"/>
              <w:jc w:val="center"/>
            </w:pPr>
            <w:r w:rsidRPr="00A841C0">
              <w:t>Rainfall mm</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bottom"/>
            <w:hideMark/>
          </w:tcPr>
          <w:p w:rsidR="00A841C0" w:rsidRPr="00A841C0" w:rsidRDefault="00A841C0" w:rsidP="00BA28FC">
            <w:pPr>
              <w:spacing w:after="0" w:line="240" w:lineRule="auto"/>
              <w:jc w:val="center"/>
            </w:pPr>
            <w:r w:rsidRPr="00A841C0">
              <w:t>Runoff mm</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bottom"/>
            <w:hideMark/>
          </w:tcPr>
          <w:p w:rsidR="00A841C0" w:rsidRPr="00A841C0" w:rsidRDefault="00A841C0" w:rsidP="00BA28FC">
            <w:pPr>
              <w:spacing w:after="0" w:line="240" w:lineRule="auto"/>
              <w:jc w:val="center"/>
            </w:pPr>
            <w:r w:rsidRPr="00A841C0">
              <w:t>GWQ mm</w:t>
            </w:r>
          </w:p>
        </w:tc>
        <w:tc>
          <w:tcPr>
            <w:tcW w:w="80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bottom"/>
            <w:hideMark/>
          </w:tcPr>
          <w:p w:rsidR="00A841C0" w:rsidRPr="00A841C0" w:rsidRDefault="00A841C0" w:rsidP="00BA28FC">
            <w:pPr>
              <w:spacing w:after="0" w:line="240" w:lineRule="auto"/>
              <w:jc w:val="center"/>
            </w:pPr>
            <w:r w:rsidRPr="00A841C0">
              <w:t>ET mm</w:t>
            </w:r>
          </w:p>
        </w:tc>
        <w:tc>
          <w:tcPr>
            <w:tcW w:w="882"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bottom"/>
            <w:hideMark/>
          </w:tcPr>
          <w:p w:rsidR="00A841C0" w:rsidRPr="00A841C0" w:rsidRDefault="00A841C0" w:rsidP="00BA28FC">
            <w:pPr>
              <w:spacing w:after="0" w:line="240" w:lineRule="auto"/>
              <w:jc w:val="center"/>
            </w:pPr>
            <w:r w:rsidRPr="00A841C0">
              <w:t>Sediment t/ha</w:t>
            </w:r>
          </w:p>
        </w:tc>
        <w:tc>
          <w:tcPr>
            <w:tcW w:w="543"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bottom"/>
            <w:hideMark/>
          </w:tcPr>
          <w:p w:rsidR="00A841C0" w:rsidRPr="00A841C0" w:rsidRDefault="00A841C0" w:rsidP="00BA28FC">
            <w:pPr>
              <w:spacing w:after="0" w:line="240" w:lineRule="auto"/>
              <w:jc w:val="center"/>
            </w:pPr>
            <w:r w:rsidRPr="00A841C0">
              <w:t>N</w:t>
            </w:r>
            <w:r w:rsidR="00BA28FC">
              <w:t>O</w:t>
            </w:r>
            <w:r w:rsidRPr="00BA28FC">
              <w:rPr>
                <w:vertAlign w:val="subscript"/>
              </w:rPr>
              <w:t>3</w:t>
            </w:r>
            <w:r w:rsidR="00BA28FC">
              <w:rPr>
                <w:vertAlign w:val="subscript"/>
              </w:rPr>
              <w:t>-</w:t>
            </w:r>
            <w:r w:rsidRPr="00A841C0">
              <w:t xml:space="preserve"> kg/ha</w:t>
            </w:r>
          </w:p>
        </w:tc>
        <w:tc>
          <w:tcPr>
            <w:tcW w:w="544"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bottom"/>
            <w:hideMark/>
          </w:tcPr>
          <w:p w:rsidR="00A841C0" w:rsidRPr="00A841C0" w:rsidRDefault="00A841C0" w:rsidP="00BA28FC">
            <w:pPr>
              <w:spacing w:after="0" w:line="240" w:lineRule="auto"/>
              <w:jc w:val="center"/>
            </w:pPr>
            <w:r w:rsidRPr="00A841C0">
              <w:t>Org N kg/ha</w:t>
            </w:r>
          </w:p>
        </w:tc>
        <w:tc>
          <w:tcPr>
            <w:tcW w:w="770"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bottom"/>
            <w:hideMark/>
          </w:tcPr>
          <w:p w:rsidR="00A841C0" w:rsidRPr="00A841C0" w:rsidRDefault="00A841C0" w:rsidP="00BA28FC">
            <w:pPr>
              <w:spacing w:after="0" w:line="240" w:lineRule="auto"/>
              <w:jc w:val="center"/>
            </w:pPr>
            <w:r w:rsidRPr="00A841C0">
              <w:t>Biomass t/ha</w:t>
            </w:r>
          </w:p>
        </w:tc>
        <w:tc>
          <w:tcPr>
            <w:tcW w:w="53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bottom"/>
            <w:hideMark/>
          </w:tcPr>
          <w:p w:rsidR="00A841C0" w:rsidRPr="00A841C0" w:rsidRDefault="00A841C0" w:rsidP="00BA28FC">
            <w:pPr>
              <w:spacing w:after="0" w:line="240" w:lineRule="auto"/>
              <w:jc w:val="center"/>
            </w:pPr>
            <w:r w:rsidRPr="00A841C0">
              <w:t>Yield t/ha</w:t>
            </w:r>
          </w:p>
        </w:tc>
      </w:tr>
      <w:tr w:rsidR="00A841C0" w:rsidRPr="00A841C0" w:rsidTr="00BA28FC">
        <w:trPr>
          <w:trHeight w:val="113"/>
        </w:trPr>
        <w:tc>
          <w:tcPr>
            <w:tcW w:w="775"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BARR</w:t>
            </w:r>
          </w:p>
        </w:tc>
        <w:tc>
          <w:tcPr>
            <w:tcW w:w="91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55,064.22</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148.97</w:t>
            </w:r>
          </w:p>
        </w:tc>
        <w:tc>
          <w:tcPr>
            <w:tcW w:w="854"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c>
          <w:tcPr>
            <w:tcW w:w="69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291.9</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97.84</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6.94</w:t>
            </w:r>
          </w:p>
        </w:tc>
        <w:tc>
          <w:tcPr>
            <w:tcW w:w="80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176.17</w:t>
            </w:r>
          </w:p>
        </w:tc>
        <w:tc>
          <w:tcPr>
            <w:tcW w:w="882"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11.67</w:t>
            </w:r>
          </w:p>
        </w:tc>
        <w:tc>
          <w:tcPr>
            <w:tcW w:w="543"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0.1</w:t>
            </w:r>
          </w:p>
        </w:tc>
        <w:tc>
          <w:tcPr>
            <w:tcW w:w="544"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4.59</w:t>
            </w:r>
          </w:p>
        </w:tc>
        <w:tc>
          <w:tcPr>
            <w:tcW w:w="770"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c>
          <w:tcPr>
            <w:tcW w:w="53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r>
      <w:tr w:rsidR="00A841C0" w:rsidRPr="00A841C0" w:rsidTr="00BA28FC">
        <w:trPr>
          <w:trHeight w:val="68"/>
        </w:trPr>
        <w:tc>
          <w:tcPr>
            <w:tcW w:w="775"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FESC</w:t>
            </w:r>
          </w:p>
        </w:tc>
        <w:tc>
          <w:tcPr>
            <w:tcW w:w="91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33,011.49</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101.86</w:t>
            </w:r>
          </w:p>
        </w:tc>
        <w:tc>
          <w:tcPr>
            <w:tcW w:w="854"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c>
          <w:tcPr>
            <w:tcW w:w="69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504.26</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88.88</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105.04</w:t>
            </w:r>
          </w:p>
        </w:tc>
        <w:tc>
          <w:tcPr>
            <w:tcW w:w="80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264.77</w:t>
            </w:r>
          </w:p>
        </w:tc>
        <w:tc>
          <w:tcPr>
            <w:tcW w:w="882"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35.89</w:t>
            </w:r>
          </w:p>
        </w:tc>
        <w:tc>
          <w:tcPr>
            <w:tcW w:w="543"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0.14</w:t>
            </w:r>
          </w:p>
        </w:tc>
        <w:tc>
          <w:tcPr>
            <w:tcW w:w="544"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10.13</w:t>
            </w:r>
          </w:p>
        </w:tc>
        <w:tc>
          <w:tcPr>
            <w:tcW w:w="770"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2.33</w:t>
            </w:r>
          </w:p>
        </w:tc>
        <w:tc>
          <w:tcPr>
            <w:tcW w:w="53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1.66</w:t>
            </w:r>
          </w:p>
        </w:tc>
      </w:tr>
      <w:tr w:rsidR="00A841C0" w:rsidRPr="00A841C0" w:rsidTr="00BA28FC">
        <w:trPr>
          <w:trHeight w:val="248"/>
        </w:trPr>
        <w:tc>
          <w:tcPr>
            <w:tcW w:w="775"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WPAS</w:t>
            </w:r>
          </w:p>
        </w:tc>
        <w:tc>
          <w:tcPr>
            <w:tcW w:w="91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13,442.99</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122.57</w:t>
            </w:r>
          </w:p>
        </w:tc>
        <w:tc>
          <w:tcPr>
            <w:tcW w:w="854"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c>
          <w:tcPr>
            <w:tcW w:w="69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453.02</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94.55</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63.44</w:t>
            </w:r>
          </w:p>
        </w:tc>
        <w:tc>
          <w:tcPr>
            <w:tcW w:w="80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252.59</w:t>
            </w:r>
          </w:p>
        </w:tc>
        <w:tc>
          <w:tcPr>
            <w:tcW w:w="882"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0.07</w:t>
            </w:r>
          </w:p>
        </w:tc>
        <w:tc>
          <w:tcPr>
            <w:tcW w:w="543"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0.03</w:t>
            </w:r>
          </w:p>
        </w:tc>
        <w:tc>
          <w:tcPr>
            <w:tcW w:w="544"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0.23</w:t>
            </w:r>
          </w:p>
        </w:tc>
        <w:tc>
          <w:tcPr>
            <w:tcW w:w="770"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0.53</w:t>
            </w:r>
          </w:p>
        </w:tc>
        <w:tc>
          <w:tcPr>
            <w:tcW w:w="53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r>
      <w:tr w:rsidR="00A841C0" w:rsidRPr="00A841C0" w:rsidTr="00BA28FC">
        <w:trPr>
          <w:trHeight w:val="140"/>
        </w:trPr>
        <w:tc>
          <w:tcPr>
            <w:tcW w:w="775"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RYER</w:t>
            </w:r>
          </w:p>
        </w:tc>
        <w:tc>
          <w:tcPr>
            <w:tcW w:w="91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8,067.44</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97.14</w:t>
            </w:r>
          </w:p>
        </w:tc>
        <w:tc>
          <w:tcPr>
            <w:tcW w:w="854"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c>
          <w:tcPr>
            <w:tcW w:w="69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530.28</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136.5</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106.14</w:t>
            </w:r>
          </w:p>
        </w:tc>
        <w:tc>
          <w:tcPr>
            <w:tcW w:w="80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244.29</w:t>
            </w:r>
          </w:p>
        </w:tc>
        <w:tc>
          <w:tcPr>
            <w:tcW w:w="882"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1.69</w:t>
            </w:r>
          </w:p>
        </w:tc>
        <w:tc>
          <w:tcPr>
            <w:tcW w:w="543"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0.03</w:t>
            </w:r>
          </w:p>
        </w:tc>
        <w:tc>
          <w:tcPr>
            <w:tcW w:w="544"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3.35</w:t>
            </w:r>
          </w:p>
        </w:tc>
        <w:tc>
          <w:tcPr>
            <w:tcW w:w="770"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0.48</w:t>
            </w:r>
          </w:p>
        </w:tc>
        <w:tc>
          <w:tcPr>
            <w:tcW w:w="53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r>
      <w:tr w:rsidR="00A841C0" w:rsidRPr="00A841C0" w:rsidTr="00BA28FC">
        <w:trPr>
          <w:trHeight w:val="113"/>
        </w:trPr>
        <w:tc>
          <w:tcPr>
            <w:tcW w:w="775"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WWHT</w:t>
            </w:r>
          </w:p>
        </w:tc>
        <w:tc>
          <w:tcPr>
            <w:tcW w:w="91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3,501.80</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62.42</w:t>
            </w:r>
          </w:p>
        </w:tc>
        <w:tc>
          <w:tcPr>
            <w:tcW w:w="854"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275.16</w:t>
            </w:r>
          </w:p>
        </w:tc>
        <w:tc>
          <w:tcPr>
            <w:tcW w:w="69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539.39</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163.52</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104.21</w:t>
            </w:r>
          </w:p>
        </w:tc>
        <w:tc>
          <w:tcPr>
            <w:tcW w:w="80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485.86</w:t>
            </w:r>
          </w:p>
        </w:tc>
        <w:tc>
          <w:tcPr>
            <w:tcW w:w="882"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2.81</w:t>
            </w:r>
          </w:p>
        </w:tc>
        <w:tc>
          <w:tcPr>
            <w:tcW w:w="543"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1.67</w:t>
            </w:r>
          </w:p>
        </w:tc>
        <w:tc>
          <w:tcPr>
            <w:tcW w:w="544"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8.51</w:t>
            </w:r>
          </w:p>
        </w:tc>
        <w:tc>
          <w:tcPr>
            <w:tcW w:w="770"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16.92</w:t>
            </w:r>
          </w:p>
        </w:tc>
        <w:tc>
          <w:tcPr>
            <w:tcW w:w="53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5.23</w:t>
            </w:r>
          </w:p>
        </w:tc>
      </w:tr>
      <w:tr w:rsidR="00A841C0" w:rsidRPr="00A841C0" w:rsidTr="00BA28FC">
        <w:trPr>
          <w:trHeight w:val="27"/>
        </w:trPr>
        <w:tc>
          <w:tcPr>
            <w:tcW w:w="775"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lastRenderedPageBreak/>
              <w:t>COTS</w:t>
            </w:r>
          </w:p>
        </w:tc>
        <w:tc>
          <w:tcPr>
            <w:tcW w:w="91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3,057.46</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130.92</w:t>
            </w:r>
          </w:p>
        </w:tc>
        <w:tc>
          <w:tcPr>
            <w:tcW w:w="854"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559.22</w:t>
            </w:r>
          </w:p>
        </w:tc>
        <w:tc>
          <w:tcPr>
            <w:tcW w:w="69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422.96</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96.01</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105.07</w:t>
            </w:r>
          </w:p>
        </w:tc>
        <w:tc>
          <w:tcPr>
            <w:tcW w:w="80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734.87</w:t>
            </w:r>
          </w:p>
        </w:tc>
        <w:tc>
          <w:tcPr>
            <w:tcW w:w="882"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7.99</w:t>
            </w:r>
          </w:p>
        </w:tc>
        <w:tc>
          <w:tcPr>
            <w:tcW w:w="543"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0.51</w:t>
            </w:r>
          </w:p>
        </w:tc>
        <w:tc>
          <w:tcPr>
            <w:tcW w:w="544"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10.69</w:t>
            </w:r>
          </w:p>
        </w:tc>
        <w:tc>
          <w:tcPr>
            <w:tcW w:w="770"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4.82</w:t>
            </w:r>
          </w:p>
        </w:tc>
        <w:tc>
          <w:tcPr>
            <w:tcW w:w="53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0.4</w:t>
            </w:r>
          </w:p>
        </w:tc>
      </w:tr>
      <w:tr w:rsidR="00A841C0" w:rsidRPr="00A841C0" w:rsidTr="00BA28FC">
        <w:trPr>
          <w:trHeight w:val="27"/>
        </w:trPr>
        <w:tc>
          <w:tcPr>
            <w:tcW w:w="775"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RICE</w:t>
            </w:r>
          </w:p>
        </w:tc>
        <w:tc>
          <w:tcPr>
            <w:tcW w:w="91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2,014.20</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176.95</w:t>
            </w:r>
          </w:p>
        </w:tc>
        <w:tc>
          <w:tcPr>
            <w:tcW w:w="854"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361.78</w:t>
            </w:r>
          </w:p>
        </w:tc>
        <w:tc>
          <w:tcPr>
            <w:tcW w:w="69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210.91</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5.61</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0.25</w:t>
            </w:r>
          </w:p>
        </w:tc>
        <w:tc>
          <w:tcPr>
            <w:tcW w:w="80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562.52</w:t>
            </w:r>
          </w:p>
        </w:tc>
        <w:tc>
          <w:tcPr>
            <w:tcW w:w="882"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0.02</w:t>
            </w:r>
          </w:p>
        </w:tc>
        <w:tc>
          <w:tcPr>
            <w:tcW w:w="543"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0.12</w:t>
            </w:r>
          </w:p>
        </w:tc>
        <w:tc>
          <w:tcPr>
            <w:tcW w:w="544"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0.09</w:t>
            </w:r>
          </w:p>
        </w:tc>
        <w:tc>
          <w:tcPr>
            <w:tcW w:w="770"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4.03</w:t>
            </w:r>
          </w:p>
        </w:tc>
        <w:tc>
          <w:tcPr>
            <w:tcW w:w="53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1.54</w:t>
            </w:r>
          </w:p>
        </w:tc>
      </w:tr>
      <w:tr w:rsidR="00A841C0" w:rsidRPr="00A841C0" w:rsidTr="00BA28FC">
        <w:trPr>
          <w:trHeight w:val="27"/>
        </w:trPr>
        <w:tc>
          <w:tcPr>
            <w:tcW w:w="775"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CORN</w:t>
            </w:r>
          </w:p>
        </w:tc>
        <w:tc>
          <w:tcPr>
            <w:tcW w:w="91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1,018.67</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171.59</w:t>
            </w:r>
          </w:p>
        </w:tc>
        <w:tc>
          <w:tcPr>
            <w:tcW w:w="854"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483.99</w:t>
            </w:r>
          </w:p>
        </w:tc>
        <w:tc>
          <w:tcPr>
            <w:tcW w:w="69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771.25</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173.55</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182.64</w:t>
            </w:r>
          </w:p>
        </w:tc>
        <w:tc>
          <w:tcPr>
            <w:tcW w:w="80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861.57</w:t>
            </w:r>
          </w:p>
        </w:tc>
        <w:tc>
          <w:tcPr>
            <w:tcW w:w="882"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1.55</w:t>
            </w:r>
          </w:p>
        </w:tc>
        <w:tc>
          <w:tcPr>
            <w:tcW w:w="543"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2.22</w:t>
            </w:r>
          </w:p>
        </w:tc>
        <w:tc>
          <w:tcPr>
            <w:tcW w:w="544"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10.14</w:t>
            </w:r>
          </w:p>
        </w:tc>
        <w:tc>
          <w:tcPr>
            <w:tcW w:w="770"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33.12</w:t>
            </w:r>
          </w:p>
        </w:tc>
        <w:tc>
          <w:tcPr>
            <w:tcW w:w="53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11.02</w:t>
            </w:r>
          </w:p>
        </w:tc>
      </w:tr>
      <w:tr w:rsidR="00A841C0" w:rsidRPr="00A841C0" w:rsidTr="00BA28FC">
        <w:trPr>
          <w:trHeight w:val="27"/>
        </w:trPr>
        <w:tc>
          <w:tcPr>
            <w:tcW w:w="775"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WATR</w:t>
            </w:r>
          </w:p>
        </w:tc>
        <w:tc>
          <w:tcPr>
            <w:tcW w:w="91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291</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122.74</w:t>
            </w:r>
          </w:p>
        </w:tc>
        <w:tc>
          <w:tcPr>
            <w:tcW w:w="854"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c>
          <w:tcPr>
            <w:tcW w:w="69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247.64</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c>
          <w:tcPr>
            <w:tcW w:w="64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c>
          <w:tcPr>
            <w:tcW w:w="809"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1,211.48</w:t>
            </w:r>
          </w:p>
        </w:tc>
        <w:tc>
          <w:tcPr>
            <w:tcW w:w="882" w:type="dxa"/>
            <w:tcBorders>
              <w:top w:val="single" w:sz="4" w:space="0" w:color="8DAB8E"/>
              <w:left w:val="single" w:sz="4" w:space="0" w:color="8DAB8E"/>
              <w:bottom w:val="single" w:sz="4" w:space="0" w:color="8DAB8E"/>
              <w:right w:val="single" w:sz="4" w:space="0" w:color="8DAB8E"/>
            </w:tcBorders>
            <w:shd w:val="clear" w:color="auto" w:fill="E6C069"/>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c>
          <w:tcPr>
            <w:tcW w:w="543"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c>
          <w:tcPr>
            <w:tcW w:w="544"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c>
          <w:tcPr>
            <w:tcW w:w="770"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c>
          <w:tcPr>
            <w:tcW w:w="536" w:type="dxa"/>
            <w:tcBorders>
              <w:top w:val="single" w:sz="4" w:space="0" w:color="8DAB8E"/>
              <w:left w:val="single" w:sz="4" w:space="0" w:color="8DAB8E"/>
              <w:bottom w:val="single" w:sz="4" w:space="0" w:color="8DAB8E"/>
              <w:right w:val="single" w:sz="4" w:space="0" w:color="8DAB8E"/>
            </w:tcBorders>
            <w:shd w:val="clear" w:color="auto" w:fill="auto"/>
            <w:tcMar>
              <w:top w:w="12" w:type="dxa"/>
              <w:left w:w="12" w:type="dxa"/>
              <w:bottom w:w="0" w:type="dxa"/>
              <w:right w:w="12" w:type="dxa"/>
            </w:tcMar>
            <w:vAlign w:val="center"/>
            <w:hideMark/>
          </w:tcPr>
          <w:p w:rsidR="00A841C0" w:rsidRPr="00A841C0" w:rsidRDefault="00A841C0" w:rsidP="00BA28FC">
            <w:pPr>
              <w:spacing w:after="0" w:line="240" w:lineRule="auto"/>
              <w:jc w:val="center"/>
            </w:pPr>
            <w:r w:rsidRPr="00A841C0">
              <w:t>0</w:t>
            </w:r>
          </w:p>
        </w:tc>
      </w:tr>
    </w:tbl>
    <w:p w:rsidR="00BA28FC" w:rsidRDefault="00BA28FC" w:rsidP="004D72FD"/>
    <w:p w:rsidR="00FD32D7" w:rsidRDefault="00BA28FC" w:rsidP="00BA28FC">
      <w:pPr>
        <w:jc w:val="both"/>
      </w:pPr>
      <w:r>
        <w:t>F</w:t>
      </w:r>
      <w:r w:rsidR="00FD32D7">
        <w:t xml:space="preserve">igure 4 shows the pathways to water quality movement in the landscape and in the soil as attached to direct runoff and sediment as well as subsurface movement. There were no </w:t>
      </w:r>
      <w:r>
        <w:t>field-observed</w:t>
      </w:r>
      <w:r w:rsidR="00FD32D7">
        <w:t xml:space="preserve"> data to calibrate, based on the experience and literature these ranges seems reasonable.</w:t>
      </w:r>
    </w:p>
    <w:p w:rsidR="00FD32D7" w:rsidRDefault="00FD32D7" w:rsidP="004D72FD">
      <w:r w:rsidRPr="00FD32D7">
        <w:rPr>
          <w:noProof/>
        </w:rPr>
        <w:drawing>
          <wp:anchor distT="0" distB="0" distL="114300" distR="114300" simplePos="0" relativeHeight="251522048" behindDoc="0" locked="0" layoutInCell="1" allowOverlap="1" wp14:anchorId="3B4435D4" wp14:editId="42D1DB5C">
            <wp:simplePos x="0" y="0"/>
            <wp:positionH relativeFrom="column">
              <wp:posOffset>60960</wp:posOffset>
            </wp:positionH>
            <wp:positionV relativeFrom="paragraph">
              <wp:posOffset>17780</wp:posOffset>
            </wp:positionV>
            <wp:extent cx="2720340" cy="2828758"/>
            <wp:effectExtent l="0" t="0" r="3810" b="0"/>
            <wp:wrapTopAndBottom/>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8"/>
                    <a:stretch>
                      <a:fillRect/>
                    </a:stretch>
                  </pic:blipFill>
                  <pic:spPr>
                    <a:xfrm>
                      <a:off x="0" y="0"/>
                      <a:ext cx="2720340" cy="2828758"/>
                    </a:xfrm>
                    <a:prstGeom prst="rect">
                      <a:avLst/>
                    </a:prstGeom>
                  </pic:spPr>
                </pic:pic>
              </a:graphicData>
            </a:graphic>
            <wp14:sizeRelH relativeFrom="margin">
              <wp14:pctWidth>0</wp14:pctWidth>
            </wp14:sizeRelH>
            <wp14:sizeRelV relativeFrom="margin">
              <wp14:pctHeight>0</wp14:pctHeight>
            </wp14:sizeRelV>
          </wp:anchor>
        </w:drawing>
      </w:r>
      <w:r w:rsidRPr="00FD32D7">
        <w:rPr>
          <w:noProof/>
        </w:rPr>
        <w:drawing>
          <wp:anchor distT="0" distB="0" distL="114300" distR="114300" simplePos="0" relativeHeight="251594752" behindDoc="0" locked="0" layoutInCell="1" allowOverlap="1" wp14:anchorId="3FDC9D40" wp14:editId="0D897692">
            <wp:simplePos x="0" y="0"/>
            <wp:positionH relativeFrom="column">
              <wp:posOffset>2971800</wp:posOffset>
            </wp:positionH>
            <wp:positionV relativeFrom="paragraph">
              <wp:posOffset>109221</wp:posOffset>
            </wp:positionV>
            <wp:extent cx="2946970" cy="2118360"/>
            <wp:effectExtent l="0" t="0" r="6350" b="0"/>
            <wp:wrapNone/>
            <wp:docPr id="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9"/>
                    <a:stretch>
                      <a:fillRect/>
                    </a:stretch>
                  </pic:blipFill>
                  <pic:spPr>
                    <a:xfrm>
                      <a:off x="0" y="0"/>
                      <a:ext cx="2954590" cy="2123838"/>
                    </a:xfrm>
                    <a:prstGeom prst="rect">
                      <a:avLst/>
                    </a:prstGeom>
                  </pic:spPr>
                </pic:pic>
              </a:graphicData>
            </a:graphic>
            <wp14:sizeRelH relativeFrom="margin">
              <wp14:pctWidth>0</wp14:pctWidth>
            </wp14:sizeRelH>
            <wp14:sizeRelV relativeFrom="margin">
              <wp14:pctHeight>0</wp14:pctHeight>
            </wp14:sizeRelV>
          </wp:anchor>
        </w:drawing>
      </w:r>
      <w:r>
        <w:t xml:space="preserve">Figure 4. </w:t>
      </w:r>
      <w:r w:rsidR="00EA23EF">
        <w:t xml:space="preserve">N and P pathways in the </w:t>
      </w:r>
      <w:proofErr w:type="spellStart"/>
      <w:r w:rsidR="00EA23EF">
        <w:t>Syr</w:t>
      </w:r>
      <w:proofErr w:type="spellEnd"/>
      <w:r w:rsidR="00EA23EF">
        <w:t xml:space="preserve"> Darya</w:t>
      </w:r>
      <w:r w:rsidR="00BA28FC">
        <w:t xml:space="preserve"> River W</w:t>
      </w:r>
      <w:r w:rsidR="00EA23EF">
        <w:t xml:space="preserve">atershed </w:t>
      </w:r>
      <w:r w:rsidR="00BA28FC">
        <w:t>(</w:t>
      </w:r>
      <w:r w:rsidR="00EA23EF">
        <w:t>in kg/ha</w:t>
      </w:r>
      <w:r w:rsidR="00BA28FC">
        <w:t>).</w:t>
      </w:r>
    </w:p>
    <w:p w:rsidR="001D020F" w:rsidRDefault="001D020F" w:rsidP="00BA28FC">
      <w:pPr>
        <w:jc w:val="both"/>
      </w:pPr>
      <w:r>
        <w:t xml:space="preserve">Figure 5 shows the average annual SWAT simulated sediment yield from the landscape simulated for the period of 2009-2013 since the reservoir release from </w:t>
      </w:r>
      <w:proofErr w:type="spellStart"/>
      <w:r w:rsidR="00BA28FC">
        <w:t>C</w:t>
      </w:r>
      <w:r>
        <w:t>hardara</w:t>
      </w:r>
      <w:proofErr w:type="spellEnd"/>
      <w:r>
        <w:t xml:space="preserve"> data were available for only this period. As already noted</w:t>
      </w:r>
      <w:r w:rsidR="00BA28FC">
        <w:t>,</w:t>
      </w:r>
      <w:r>
        <w:t xml:space="preserve"> most of the sediment yield is from the southeast where the rainfall is relatively high with very </w:t>
      </w:r>
      <w:r w:rsidR="00BA28FC">
        <w:t>steep</w:t>
      </w:r>
      <w:r>
        <w:t xml:space="preserve"> slopes </w:t>
      </w:r>
      <w:r w:rsidR="00BA28FC">
        <w:t>and</w:t>
      </w:r>
      <w:r>
        <w:t xml:space="preserve"> very sparsely vegetated or barren land.</w:t>
      </w:r>
    </w:p>
    <w:p w:rsidR="001D020F" w:rsidRDefault="001D020F" w:rsidP="004D72FD">
      <w:r w:rsidRPr="001D020F">
        <w:rPr>
          <w:noProof/>
        </w:rPr>
        <w:lastRenderedPageBreak/>
        <w:drawing>
          <wp:inline distT="0" distB="0" distL="0" distR="0" wp14:anchorId="747BCDEF" wp14:editId="4C983F3D">
            <wp:extent cx="5299364" cy="6858000"/>
            <wp:effectExtent l="0" t="0" r="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99364" cy="6858000"/>
                    </a:xfrm>
                    <a:prstGeom prst="rect">
                      <a:avLst/>
                    </a:prstGeom>
                  </pic:spPr>
                </pic:pic>
              </a:graphicData>
            </a:graphic>
          </wp:inline>
        </w:drawing>
      </w:r>
    </w:p>
    <w:p w:rsidR="00FD32D7" w:rsidRDefault="001D020F" w:rsidP="004D72FD">
      <w:r>
        <w:t xml:space="preserve">Figure 5. Average annual SWAT simulated Sediment Yield </w:t>
      </w:r>
      <w:r w:rsidR="00BA28FC">
        <w:t>(</w:t>
      </w:r>
      <w:r>
        <w:t>in tons/ha</w:t>
      </w:r>
      <w:r w:rsidR="00BA28FC">
        <w:t>)</w:t>
      </w:r>
      <w:r>
        <w:t xml:space="preserve"> (2009-2013)</w:t>
      </w:r>
    </w:p>
    <w:p w:rsidR="001D020F" w:rsidRDefault="001D020F" w:rsidP="00BA28FC">
      <w:pPr>
        <w:jc w:val="both"/>
      </w:pPr>
      <w:r>
        <w:t xml:space="preserve">Figure 6 shows the average annual SWAT simulated total N and P contribution by the </w:t>
      </w:r>
      <w:proofErr w:type="spellStart"/>
      <w:r>
        <w:t>subbasin</w:t>
      </w:r>
      <w:proofErr w:type="spellEnd"/>
      <w:r>
        <w:t xml:space="preserve"> for 2009-2013 period.</w:t>
      </w:r>
      <w:r w:rsidR="00716C4F">
        <w:t xml:space="preserve"> It is evident</w:t>
      </w:r>
      <w:r w:rsidR="00BA28FC">
        <w:t>,</w:t>
      </w:r>
      <w:r w:rsidR="00716C4F">
        <w:t xml:space="preserve"> due to high sediment the organic N and P contribution were higher in the south east part of the watershed. Relatively comparing with organic vs inorganic N and P, organic contribution were higher as shown in Figure 4 the pathways of N and P movement in the watershed.</w:t>
      </w:r>
    </w:p>
    <w:p w:rsidR="00716C4F" w:rsidRDefault="00716C4F" w:rsidP="004D72FD">
      <w:r w:rsidRPr="001D020F">
        <w:rPr>
          <w:noProof/>
        </w:rPr>
        <w:lastRenderedPageBreak/>
        <w:drawing>
          <wp:anchor distT="0" distB="0" distL="114300" distR="114300" simplePos="0" relativeHeight="251613184" behindDoc="0" locked="0" layoutInCell="1" allowOverlap="1" wp14:anchorId="0C37AA66" wp14:editId="4E90D11D">
            <wp:simplePos x="0" y="0"/>
            <wp:positionH relativeFrom="column">
              <wp:posOffset>2727960</wp:posOffset>
            </wp:positionH>
            <wp:positionV relativeFrom="paragraph">
              <wp:posOffset>149225</wp:posOffset>
            </wp:positionV>
            <wp:extent cx="3421380" cy="4427668"/>
            <wp:effectExtent l="0" t="0" r="7620" b="0"/>
            <wp:wrapNone/>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421380" cy="4427668"/>
                    </a:xfrm>
                    <a:prstGeom prst="rect">
                      <a:avLst/>
                    </a:prstGeom>
                  </pic:spPr>
                </pic:pic>
              </a:graphicData>
            </a:graphic>
            <wp14:sizeRelH relativeFrom="margin">
              <wp14:pctWidth>0</wp14:pctWidth>
            </wp14:sizeRelH>
            <wp14:sizeRelV relativeFrom="margin">
              <wp14:pctHeight>0</wp14:pctHeight>
            </wp14:sizeRelV>
          </wp:anchor>
        </w:drawing>
      </w:r>
      <w:r w:rsidRPr="001D020F">
        <w:rPr>
          <w:noProof/>
        </w:rPr>
        <w:drawing>
          <wp:anchor distT="0" distB="0" distL="114300" distR="114300" simplePos="0" relativeHeight="251633664" behindDoc="0" locked="0" layoutInCell="1" allowOverlap="1" wp14:anchorId="24B31902" wp14:editId="05D3228B">
            <wp:simplePos x="0" y="0"/>
            <wp:positionH relativeFrom="column">
              <wp:posOffset>-434340</wp:posOffset>
            </wp:positionH>
            <wp:positionV relativeFrom="paragraph">
              <wp:posOffset>129540</wp:posOffset>
            </wp:positionV>
            <wp:extent cx="3502660" cy="4533900"/>
            <wp:effectExtent l="0" t="0" r="2540" b="0"/>
            <wp:wrapTopAndBottom/>
            <wp:docPr id="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02660" cy="4533900"/>
                    </a:xfrm>
                    <a:prstGeom prst="rect">
                      <a:avLst/>
                    </a:prstGeom>
                  </pic:spPr>
                </pic:pic>
              </a:graphicData>
            </a:graphic>
            <wp14:sizeRelH relativeFrom="margin">
              <wp14:pctWidth>0</wp14:pctWidth>
            </wp14:sizeRelH>
            <wp14:sizeRelV relativeFrom="margin">
              <wp14:pctHeight>0</wp14:pctHeight>
            </wp14:sizeRelV>
          </wp:anchor>
        </w:drawing>
      </w:r>
      <w:r w:rsidRPr="00716C4F">
        <w:t xml:space="preserve">Figure 6. Average Annual SWAT Simulated Total N and P in Kg/ha for 2009-2013 by </w:t>
      </w:r>
      <w:proofErr w:type="spellStart"/>
      <w:r w:rsidRPr="00716C4F">
        <w:t>subbasins</w:t>
      </w:r>
      <w:proofErr w:type="spellEnd"/>
      <w:r w:rsidRPr="00716C4F">
        <w:t>.</w:t>
      </w:r>
    </w:p>
    <w:p w:rsidR="00716C4F" w:rsidRDefault="00716C4F" w:rsidP="00BA28FC">
      <w:pPr>
        <w:jc w:val="both"/>
      </w:pPr>
      <w:r>
        <w:t xml:space="preserve">Figure 7 shows the average annual SWAT </w:t>
      </w:r>
      <w:r w:rsidR="00CB21FB">
        <w:t>s</w:t>
      </w:r>
      <w:r>
        <w:t xml:space="preserve">imulated soluble </w:t>
      </w:r>
      <w:r w:rsidR="00CB21FB">
        <w:t>n</w:t>
      </w:r>
      <w:r>
        <w:t xml:space="preserve">itrates and </w:t>
      </w:r>
      <w:r w:rsidR="00CB21FB">
        <w:t>p</w:t>
      </w:r>
      <w:r>
        <w:t xml:space="preserve">hosphorus contribution across the landscape by </w:t>
      </w:r>
      <w:proofErr w:type="spellStart"/>
      <w:r>
        <w:t>subbasin</w:t>
      </w:r>
      <w:proofErr w:type="spellEnd"/>
      <w:r>
        <w:t xml:space="preserve"> for the period of 2009-2013 in kg/ha. </w:t>
      </w:r>
      <w:r w:rsidR="00651A76">
        <w:t>Relatively</w:t>
      </w:r>
      <w:r w:rsidR="00CB21FB">
        <w:t>,</w:t>
      </w:r>
      <w:r w:rsidR="00651A76">
        <w:t xml:space="preserve"> the contribution from the agricultural land was very limited at the </w:t>
      </w:r>
      <w:proofErr w:type="spellStart"/>
      <w:r w:rsidR="00651A76">
        <w:t>subbasin</w:t>
      </w:r>
      <w:proofErr w:type="spellEnd"/>
      <w:r w:rsidR="00651A76">
        <w:t xml:space="preserve"> scale as cropland was only 9% of the watershed and distributed through</w:t>
      </w:r>
      <w:r w:rsidR="00CB21FB">
        <w:t>out</w:t>
      </w:r>
      <w:r w:rsidR="00651A76">
        <w:t xml:space="preserve"> the basin. However, since most the croplands were located close to the water resources such as reservoirs and rivers, the local load from agricultural land</w:t>
      </w:r>
      <w:r w:rsidR="00CB21FB">
        <w:t>scapes</w:t>
      </w:r>
      <w:r w:rsidR="00651A76">
        <w:t xml:space="preserve"> were higher. In addition</w:t>
      </w:r>
      <w:r w:rsidR="00CB21FB">
        <w:t>,</w:t>
      </w:r>
      <w:r w:rsidR="00651A76">
        <w:t xml:space="preserve"> </w:t>
      </w:r>
      <w:r w:rsidR="00CB21FB">
        <w:t xml:space="preserve">as </w:t>
      </w:r>
      <w:r w:rsidR="00651A76">
        <w:t>the water move</w:t>
      </w:r>
      <w:r w:rsidR="00CB21FB">
        <w:t>d</w:t>
      </w:r>
      <w:r w:rsidR="00651A76">
        <w:t xml:space="preserve"> from upstream to downstream</w:t>
      </w:r>
      <w:r w:rsidR="00CB21FB">
        <w:t>,</w:t>
      </w:r>
      <w:r w:rsidR="00651A76">
        <w:t xml:space="preserve"> the water were abstracted along the river through diversions for irrigation and municipal use, the water quality concentrations were very high near the tail end of the watershed.</w:t>
      </w:r>
    </w:p>
    <w:p w:rsidR="00716C4F" w:rsidRDefault="00CB21FB" w:rsidP="004D72FD">
      <w:r w:rsidRPr="00716C4F">
        <w:rPr>
          <w:noProof/>
        </w:rPr>
        <w:lastRenderedPageBreak/>
        <w:drawing>
          <wp:anchor distT="0" distB="0" distL="114300" distR="114300" simplePos="0" relativeHeight="251867136" behindDoc="0" locked="0" layoutInCell="1" allowOverlap="1" wp14:anchorId="67314E10" wp14:editId="698CB2B9">
            <wp:simplePos x="0" y="0"/>
            <wp:positionH relativeFrom="column">
              <wp:posOffset>3159659</wp:posOffset>
            </wp:positionH>
            <wp:positionV relativeFrom="paragraph">
              <wp:posOffset>99587</wp:posOffset>
            </wp:positionV>
            <wp:extent cx="3691390" cy="4762123"/>
            <wp:effectExtent l="0" t="0" r="4445" b="635"/>
            <wp:wrapNone/>
            <wp:docPr id="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00023" cy="4773261"/>
                    </a:xfrm>
                    <a:prstGeom prst="rect">
                      <a:avLst/>
                    </a:prstGeom>
                  </pic:spPr>
                </pic:pic>
              </a:graphicData>
            </a:graphic>
            <wp14:sizeRelH relativeFrom="margin">
              <wp14:pctWidth>0</wp14:pctWidth>
            </wp14:sizeRelH>
            <wp14:sizeRelV relativeFrom="margin">
              <wp14:pctHeight>0</wp14:pctHeight>
            </wp14:sizeRelV>
          </wp:anchor>
        </w:drawing>
      </w:r>
      <w:r w:rsidRPr="00716C4F">
        <w:rPr>
          <w:noProof/>
        </w:rPr>
        <w:drawing>
          <wp:anchor distT="0" distB="0" distL="114300" distR="114300" simplePos="0" relativeHeight="251751424" behindDoc="0" locked="0" layoutInCell="1" allowOverlap="1" wp14:anchorId="0DB01E20" wp14:editId="388079EE">
            <wp:simplePos x="0" y="0"/>
            <wp:positionH relativeFrom="column">
              <wp:posOffset>-528873</wp:posOffset>
            </wp:positionH>
            <wp:positionV relativeFrom="paragraph">
              <wp:posOffset>603</wp:posOffset>
            </wp:positionV>
            <wp:extent cx="3768090" cy="4876165"/>
            <wp:effectExtent l="0" t="0" r="3810" b="635"/>
            <wp:wrapTopAndBottom/>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68090" cy="4876165"/>
                    </a:xfrm>
                    <a:prstGeom prst="rect">
                      <a:avLst/>
                    </a:prstGeom>
                  </pic:spPr>
                </pic:pic>
              </a:graphicData>
            </a:graphic>
            <wp14:sizeRelH relativeFrom="margin">
              <wp14:pctWidth>0</wp14:pctWidth>
            </wp14:sizeRelH>
            <wp14:sizeRelV relativeFrom="margin">
              <wp14:pctHeight>0</wp14:pctHeight>
            </wp14:sizeRelV>
          </wp:anchor>
        </w:drawing>
      </w:r>
      <w:r w:rsidR="00716C4F">
        <w:t xml:space="preserve">Figure 7. Average </w:t>
      </w:r>
      <w:r>
        <w:t>a</w:t>
      </w:r>
      <w:r w:rsidR="00716C4F">
        <w:t xml:space="preserve">nnual SWAT simulated </w:t>
      </w:r>
      <w:r>
        <w:t>n</w:t>
      </w:r>
      <w:r w:rsidR="00716C4F">
        <w:t xml:space="preserve">itrates and </w:t>
      </w:r>
      <w:r>
        <w:t>p</w:t>
      </w:r>
      <w:r w:rsidR="00716C4F">
        <w:t xml:space="preserve">hosphorus </w:t>
      </w:r>
      <w:r w:rsidR="00651A76">
        <w:t>in soluble form (2009-2013)</w:t>
      </w:r>
      <w:r>
        <w:t>.</w:t>
      </w:r>
    </w:p>
    <w:p w:rsidR="000B270A" w:rsidRDefault="000B270A" w:rsidP="00CB21FB">
      <w:pPr>
        <w:jc w:val="both"/>
      </w:pPr>
      <w:r>
        <w:t>Figure 8 shows the total irrigation demand by year for various agricultural watershed in million m</w:t>
      </w:r>
      <w:r w:rsidRPr="00CB21FB">
        <w:rPr>
          <w:vertAlign w:val="superscript"/>
        </w:rPr>
        <w:t>3</w:t>
      </w:r>
      <w:r>
        <w:t>.</w:t>
      </w:r>
      <w:r w:rsidR="007F1BF8">
        <w:t xml:space="preserve"> The average water demand was about 3.9 billion m</w:t>
      </w:r>
      <w:r w:rsidR="007F1BF8" w:rsidRPr="00CB21FB">
        <w:rPr>
          <w:vertAlign w:val="superscript"/>
        </w:rPr>
        <w:t>3</w:t>
      </w:r>
      <w:r w:rsidR="007F1BF8">
        <w:t xml:space="preserve"> (B</w:t>
      </w:r>
      <w:r w:rsidR="00CB21FB">
        <w:t>m</w:t>
      </w:r>
      <w:r w:rsidR="007F1BF8" w:rsidRPr="00CB21FB">
        <w:rPr>
          <w:vertAlign w:val="superscript"/>
        </w:rPr>
        <w:t>3</w:t>
      </w:r>
      <w:r w:rsidR="007F1BF8">
        <w:t>) per year for irrigation. This does not consider any of the irrigation efficiencies. If one assumes the irrigation efficiency of 50%</w:t>
      </w:r>
      <w:r w:rsidR="00CB21FB">
        <w:t>,</w:t>
      </w:r>
      <w:r w:rsidR="007F1BF8">
        <w:t xml:space="preserve"> since most of these area are under flood irrigation, the annual </w:t>
      </w:r>
      <w:r w:rsidR="00CB21FB">
        <w:t>irrigation requirement is 7.8 Bm</w:t>
      </w:r>
      <w:r w:rsidR="007F1BF8" w:rsidRPr="00CB21FB">
        <w:rPr>
          <w:vertAlign w:val="superscript"/>
        </w:rPr>
        <w:t>3</w:t>
      </w:r>
      <w:r w:rsidR="007F1BF8">
        <w:t>.</w:t>
      </w:r>
    </w:p>
    <w:p w:rsidR="000B270A" w:rsidRDefault="000B270A" w:rsidP="004D72FD">
      <w:r w:rsidRPr="000B270A">
        <w:rPr>
          <w:noProof/>
        </w:rPr>
        <w:lastRenderedPageBreak/>
        <w:drawing>
          <wp:inline distT="0" distB="0" distL="0" distR="0" wp14:anchorId="7570D95E" wp14:editId="1C23E80B">
            <wp:extent cx="5494020" cy="2377440"/>
            <wp:effectExtent l="0" t="0" r="11430" b="381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B270A" w:rsidRDefault="000B270A" w:rsidP="004D72FD">
      <w:r>
        <w:t>Figure 8. SWAT simulated irrigation demand in million m</w:t>
      </w:r>
      <w:r w:rsidRPr="00CB21FB">
        <w:rPr>
          <w:vertAlign w:val="superscript"/>
        </w:rPr>
        <w:t>3</w:t>
      </w:r>
      <w:r>
        <w:t xml:space="preserve"> for all agricultural land (2009-2013)</w:t>
      </w:r>
    </w:p>
    <w:p w:rsidR="005C75E3" w:rsidRDefault="005C75E3" w:rsidP="00CB21FB">
      <w:pPr>
        <w:jc w:val="both"/>
      </w:pPr>
      <w:r>
        <w:t>Figure 9 shows the probability of exceedance curve for tota</w:t>
      </w:r>
      <w:r w:rsidR="00CB21FB">
        <w:t>l N and total P in millions of k</w:t>
      </w:r>
      <w:r>
        <w:t xml:space="preserve">g at the watershed outlet that were reaching the Aral Sea </w:t>
      </w:r>
      <w:r w:rsidR="00CB21FB">
        <w:t>B</w:t>
      </w:r>
      <w:r>
        <w:t>asin based on the SWAT model simulation for the period of 2009-2013.</w:t>
      </w:r>
      <w:r w:rsidR="00CE52AD">
        <w:t xml:space="preserve"> As the figure shows, the </w:t>
      </w:r>
      <w:r w:rsidR="00CB21FB">
        <w:t>t</w:t>
      </w:r>
      <w:r w:rsidR="00CE52AD">
        <w:t xml:space="preserve">otal N in the river is above 0.5 million </w:t>
      </w:r>
      <w:r w:rsidR="00CB21FB">
        <w:t>k</w:t>
      </w:r>
      <w:r w:rsidR="00CE52AD">
        <w:t>g or 500 ton</w:t>
      </w:r>
      <w:r w:rsidR="00CB21FB">
        <w:t>s</w:t>
      </w:r>
      <w:r w:rsidR="00CE52AD">
        <w:t xml:space="preserve"> of N and about 220 tons of total P reaching the Aral Sea by month.</w:t>
      </w:r>
    </w:p>
    <w:p w:rsidR="005C75E3" w:rsidRDefault="005C75E3" w:rsidP="004D72FD">
      <w:r w:rsidRPr="005C75E3">
        <w:rPr>
          <w:noProof/>
        </w:rPr>
        <w:drawing>
          <wp:inline distT="0" distB="0" distL="0" distR="0" wp14:anchorId="64E9535E" wp14:editId="64983F80">
            <wp:extent cx="5882640" cy="3070860"/>
            <wp:effectExtent l="0" t="0" r="3810" b="1524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5C75E3" w:rsidRDefault="005C75E3" w:rsidP="004D72FD">
      <w:r>
        <w:t xml:space="preserve">Figure 9. </w:t>
      </w:r>
      <w:r w:rsidR="00CE52AD">
        <w:t xml:space="preserve">Load duration curve of SWAT simulated </w:t>
      </w:r>
      <w:r w:rsidR="00CB21FB">
        <w:t>t</w:t>
      </w:r>
      <w:r w:rsidR="00CE52AD">
        <w:t>otal N and P at the watershed outlet (2009-2013)</w:t>
      </w:r>
    </w:p>
    <w:p w:rsidR="00671D86" w:rsidRPr="0054533D" w:rsidRDefault="0054533D" w:rsidP="004D72FD">
      <w:pPr>
        <w:rPr>
          <w:u w:val="single"/>
        </w:rPr>
      </w:pPr>
      <w:r>
        <w:rPr>
          <w:u w:val="single"/>
        </w:rPr>
        <w:t>SWAT</w:t>
      </w:r>
      <w:r w:rsidR="00CB21FB">
        <w:rPr>
          <w:u w:val="single"/>
        </w:rPr>
        <w:t xml:space="preserve"> s</w:t>
      </w:r>
      <w:r w:rsidR="006D6353">
        <w:rPr>
          <w:u w:val="single"/>
        </w:rPr>
        <w:t>cenario</w:t>
      </w:r>
      <w:r w:rsidR="00CB21FB">
        <w:rPr>
          <w:u w:val="single"/>
        </w:rPr>
        <w:t xml:space="preserve"> s</w:t>
      </w:r>
      <w:r>
        <w:rPr>
          <w:u w:val="single"/>
        </w:rPr>
        <w:t>imulations</w:t>
      </w:r>
    </w:p>
    <w:p w:rsidR="006F1C54" w:rsidRDefault="00407DE0" w:rsidP="00CB21FB">
      <w:pPr>
        <w:jc w:val="both"/>
      </w:pPr>
      <w:r>
        <w:t xml:space="preserve">As it was done in the </w:t>
      </w:r>
      <w:proofErr w:type="spellStart"/>
      <w:r>
        <w:t>Bugunski</w:t>
      </w:r>
      <w:proofErr w:type="spellEnd"/>
      <w:r>
        <w:t xml:space="preserve"> Reservoir Watershed modeling </w:t>
      </w:r>
      <w:r w:rsidR="00052C90">
        <w:t>exercise</w:t>
      </w:r>
      <w:r w:rsidR="00CB21FB">
        <w:t>,</w:t>
      </w:r>
      <w:r>
        <w:t xml:space="preserve"> both improved irrigation scenarios using sprinklers/drip system with higher irrigation efficiencies were simulated for the entire </w:t>
      </w:r>
      <w:proofErr w:type="spellStart"/>
      <w:r>
        <w:t>Syr</w:t>
      </w:r>
      <w:proofErr w:type="spellEnd"/>
      <w:r>
        <w:t xml:space="preserve"> Darya </w:t>
      </w:r>
      <w:r w:rsidR="00CB21FB">
        <w:lastRenderedPageBreak/>
        <w:t>R</w:t>
      </w:r>
      <w:r>
        <w:t xml:space="preserve">iver </w:t>
      </w:r>
      <w:r w:rsidR="00CB21FB">
        <w:t>B</w:t>
      </w:r>
      <w:r>
        <w:t xml:space="preserve">asin with reduced nutrients input. </w:t>
      </w:r>
      <w:r w:rsidR="00052C90">
        <w:t xml:space="preserve">In the </w:t>
      </w:r>
      <w:r w:rsidR="006F1C54">
        <w:t>scenario</w:t>
      </w:r>
      <w:r w:rsidR="00CB21FB">
        <w:t>,</w:t>
      </w:r>
      <w:r w:rsidR="00CA47BF">
        <w:t xml:space="preserve"> </w:t>
      </w:r>
      <w:r w:rsidR="006F1C54">
        <w:t xml:space="preserve">flood irrigated cotton was converted to drip irrigated cotton, </w:t>
      </w:r>
      <w:r w:rsidR="00CB21FB">
        <w:t>c</w:t>
      </w:r>
      <w:r w:rsidR="00052C90">
        <w:t xml:space="preserve">orn was using sprinkler irrigation and </w:t>
      </w:r>
      <w:r w:rsidR="00CB21FB">
        <w:t>r</w:t>
      </w:r>
      <w:r w:rsidR="00052C90">
        <w:t>ice was using most improved irrigation system</w:t>
      </w:r>
      <w:r w:rsidR="006F1C54">
        <w:t xml:space="preserve">.  </w:t>
      </w:r>
    </w:p>
    <w:p w:rsidR="0054533D" w:rsidRDefault="00052C90" w:rsidP="00CB21FB">
      <w:pPr>
        <w:jc w:val="both"/>
      </w:pPr>
      <w:r>
        <w:t>For example</w:t>
      </w:r>
      <w:r w:rsidR="00CB21FB">
        <w:t>,</w:t>
      </w:r>
      <w:r>
        <w:t xml:space="preserve"> b</w:t>
      </w:r>
      <w:r w:rsidR="009C78D0">
        <w:t xml:space="preserve">aseline applications of phosphorus and nitrogen fertilizer </w:t>
      </w:r>
      <w:r w:rsidR="006F1C54">
        <w:t xml:space="preserve">to flood irrigated cotton </w:t>
      </w:r>
      <w:r w:rsidR="009C78D0">
        <w:t xml:space="preserve">were 70 kg P/ha and 190 kg N/ha, respectively. In contrast, under alternative fertilizer management scenarios, 78 kg N/ha was applied to drip irrigated cotton. </w:t>
      </w:r>
      <w:r w:rsidR="00B630B7">
        <w:t>Baseline irrigation demand for flood irrigated cotton was 1</w:t>
      </w:r>
      <w:r w:rsidR="006F1C54">
        <w:t>,</w:t>
      </w:r>
      <w:r w:rsidR="00B630B7">
        <w:t xml:space="preserve">573 mm/yr. Irrigation demand for alternative scenarios was lower than in baseline flood irrigated cotton. </w:t>
      </w:r>
      <w:r w:rsidR="009C78D0">
        <w:t>Irrigation demand for drip irrigated cotton was 840 mm/yr</w:t>
      </w:r>
      <w:r w:rsidR="00B630B7">
        <w:t xml:space="preserve">. </w:t>
      </w:r>
      <w:r w:rsidR="009C78D0">
        <w:t xml:space="preserve"> </w:t>
      </w:r>
      <w:r>
        <w:t>Both are total demand including irrigation efficiencies.</w:t>
      </w:r>
    </w:p>
    <w:p w:rsidR="006F1C54" w:rsidRDefault="00CA47BF" w:rsidP="00762BE8">
      <w:pPr>
        <w:jc w:val="both"/>
      </w:pPr>
      <w:r>
        <w:t xml:space="preserve">SWAT simulations showed significant reductions in irrigation water demand </w:t>
      </w:r>
      <w:r w:rsidR="000E69CF">
        <w:t>in</w:t>
      </w:r>
      <w:r>
        <w:t xml:space="preserve"> the alternative scenario </w:t>
      </w:r>
      <w:r w:rsidR="000E69CF">
        <w:t>re</w:t>
      </w:r>
      <w:r w:rsidR="00052C90">
        <w:t>lative to the baseline scenario</w:t>
      </w:r>
      <w:r>
        <w:t xml:space="preserve">.  Under baseline flood irrigation of cotton, </w:t>
      </w:r>
      <w:r w:rsidR="00052C90">
        <w:t>annual irrigation demand was 1,600</w:t>
      </w:r>
      <w:r>
        <w:t xml:space="preserve"> MCM/</w:t>
      </w:r>
      <w:proofErr w:type="spellStart"/>
      <w:r>
        <w:t>yr</w:t>
      </w:r>
      <w:proofErr w:type="spellEnd"/>
      <w:r>
        <w:t xml:space="preserve"> averaged over the 32 year climatic record simulated. Irrigate</w:t>
      </w:r>
      <w:r w:rsidR="00E3201E">
        <w:t>d demand decreased by 53</w:t>
      </w:r>
      <w:r w:rsidR="00052C90">
        <w:t>% to 855</w:t>
      </w:r>
      <w:r w:rsidR="001E7C18">
        <w:t xml:space="preserve"> MCM/</w:t>
      </w:r>
      <w:proofErr w:type="spellStart"/>
      <w:r w:rsidR="001E7C18">
        <w:t>yr</w:t>
      </w:r>
      <w:proofErr w:type="spellEnd"/>
      <w:r w:rsidR="001E7C18">
        <w:t xml:space="preserve"> when 1,018 </w:t>
      </w:r>
      <w:proofErr w:type="spellStart"/>
      <w:r w:rsidR="001E7C18">
        <w:t>sq</w:t>
      </w:r>
      <w:proofErr w:type="spellEnd"/>
      <w:r w:rsidR="001E7C18">
        <w:t xml:space="preserve"> km</w:t>
      </w:r>
      <w:r>
        <w:t xml:space="preserve"> of flood irrigated cotton was con</w:t>
      </w:r>
      <w:r w:rsidR="001E7C18">
        <w:t>verted to drip irrigated cotton</w:t>
      </w:r>
      <w:r>
        <w:t>.</w:t>
      </w:r>
      <w:r w:rsidR="001E7C18">
        <w:t xml:space="preserve">  </w:t>
      </w:r>
      <w:r w:rsidR="001E7C18" w:rsidRPr="00762BE8">
        <w:rPr>
          <w:highlight w:val="yellow"/>
        </w:rPr>
        <w:t>This</w:t>
      </w:r>
      <w:bookmarkStart w:id="0" w:name="_GoBack"/>
      <w:bookmarkEnd w:id="0"/>
      <w:r w:rsidR="001E7C18">
        <w:t xml:space="preserve"> represents a savings of 7</w:t>
      </w:r>
      <w:r w:rsidR="00E3201E">
        <w:t>4</w:t>
      </w:r>
      <w:r>
        <w:t>5 MCM/</w:t>
      </w:r>
      <w:proofErr w:type="spellStart"/>
      <w:r>
        <w:t>yr</w:t>
      </w:r>
      <w:proofErr w:type="spellEnd"/>
      <w:r>
        <w:t xml:space="preserve"> in water extracted from irrigation canals and groundwater wells.  </w:t>
      </w:r>
      <w:r w:rsidR="001E7C18">
        <w:t xml:space="preserve">Similar results were found in Rice and Corn irrigated areas also. </w:t>
      </w:r>
      <w:r>
        <w:t xml:space="preserve">The water conserved would then be available for other downstream uses, including recharge of wetlands and replenishment of the Aral Sea.  </w:t>
      </w:r>
    </w:p>
    <w:p w:rsidR="007B7AA6" w:rsidRDefault="00795CC6" w:rsidP="004D72FD">
      <w:r>
        <w:t>As a result of reduced application of irrigation water in the alternative scenario, return flows of water from agricultural fields to nearby canals and streams was reduced slightly.  More efficient irrigation and planting of crops that use water more efficiently reduced irrigation return flows by 0.5% relative to the baseline scenario.</w:t>
      </w:r>
    </w:p>
    <w:p w:rsidR="00006090" w:rsidRDefault="001E7C18" w:rsidP="00006090">
      <w:r>
        <w:t>More</w:t>
      </w:r>
      <w:r w:rsidR="00006090">
        <w:t xml:space="preserve"> efficient irrigation also improved water quality relative to t</w:t>
      </w:r>
      <w:r>
        <w:t>he baseline scenario</w:t>
      </w:r>
      <w:r w:rsidR="00006090">
        <w:t>.  Losses of phosphorus from agricultural fields were reduced slightly by 0.8% in the alternative scenario, rela</w:t>
      </w:r>
      <w:r>
        <w:t>tive to baseline losses</w:t>
      </w:r>
      <w:r w:rsidR="00006090">
        <w:t>.  Leaching losses of nitrate-nitrogen from agricultural fields was reduced by 4.6% in the alternative scenario, rela</w:t>
      </w:r>
      <w:r>
        <w:t>tive to baseline losses</w:t>
      </w:r>
      <w:r w:rsidR="00006090">
        <w:t>.</w:t>
      </w:r>
    </w:p>
    <w:p w:rsidR="007B7AA6" w:rsidRDefault="007B7AA6" w:rsidP="004D72FD"/>
    <w:p w:rsidR="007B7AA6" w:rsidRDefault="007C681C" w:rsidP="004D72FD">
      <w:r>
        <w:rPr>
          <w:b/>
        </w:rPr>
        <w:t>Summary</w:t>
      </w:r>
    </w:p>
    <w:p w:rsidR="007C681C" w:rsidRDefault="007C681C" w:rsidP="007C681C">
      <w:r>
        <w:t xml:space="preserve">Farmer surveys were used along with Soil and Water Assessment Tool (SWAT) modeling to evaluate alternative irrigation practices and cropping systems that can conserve water in the </w:t>
      </w:r>
      <w:proofErr w:type="spellStart"/>
      <w:r w:rsidR="00E3201E">
        <w:t>Syr</w:t>
      </w:r>
      <w:proofErr w:type="spellEnd"/>
      <w:r w:rsidR="00E3201E">
        <w:t xml:space="preserve"> Darya</w:t>
      </w:r>
      <w:r>
        <w:t xml:space="preserve"> watershed </w:t>
      </w:r>
      <w:r w:rsidR="00E3201E">
        <w:t>while maintaining farmer productivity</w:t>
      </w:r>
      <w:r>
        <w:t xml:space="preserve">.  </w:t>
      </w:r>
    </w:p>
    <w:p w:rsidR="007C681C" w:rsidRDefault="007C681C" w:rsidP="007C681C">
      <w:r>
        <w:t>Alternative practices evaluated include:</w:t>
      </w:r>
    </w:p>
    <w:p w:rsidR="007C681C" w:rsidRDefault="007C681C" w:rsidP="007C681C">
      <w:pPr>
        <w:pStyle w:val="ListParagraph"/>
        <w:numPr>
          <w:ilvl w:val="0"/>
          <w:numId w:val="2"/>
        </w:numPr>
      </w:pPr>
      <w:r>
        <w:t>Better irrigation water management (sprinkler and drip)</w:t>
      </w:r>
    </w:p>
    <w:p w:rsidR="007C681C" w:rsidRDefault="007C681C" w:rsidP="007C681C">
      <w:pPr>
        <w:pStyle w:val="ListParagraph"/>
        <w:numPr>
          <w:ilvl w:val="0"/>
          <w:numId w:val="2"/>
        </w:numPr>
      </w:pPr>
      <w:r>
        <w:t xml:space="preserve">Reduced fertilizer application </w:t>
      </w:r>
    </w:p>
    <w:p w:rsidR="007C681C" w:rsidRDefault="007C681C" w:rsidP="007C681C">
      <w:r>
        <w:t>Impacts of alternative practices evaluated include:</w:t>
      </w:r>
    </w:p>
    <w:p w:rsidR="007C681C" w:rsidRDefault="007C681C" w:rsidP="007C681C">
      <w:pPr>
        <w:pStyle w:val="ListParagraph"/>
        <w:numPr>
          <w:ilvl w:val="0"/>
          <w:numId w:val="3"/>
        </w:numPr>
      </w:pPr>
      <w:r>
        <w:t>Improvements in water conservation through reduced irrigation demand from agricultural lands</w:t>
      </w:r>
    </w:p>
    <w:p w:rsidR="007C681C" w:rsidRDefault="007C681C" w:rsidP="007C681C">
      <w:pPr>
        <w:pStyle w:val="ListParagraph"/>
        <w:numPr>
          <w:ilvl w:val="0"/>
          <w:numId w:val="3"/>
        </w:numPr>
      </w:pPr>
      <w:r>
        <w:t xml:space="preserve">Improvements in water quality (reduced phosphorus, nitrogen and sediment losses from farms) </w:t>
      </w:r>
    </w:p>
    <w:p w:rsidR="007C681C" w:rsidRDefault="007C681C" w:rsidP="007C681C">
      <w:r>
        <w:lastRenderedPageBreak/>
        <w:t xml:space="preserve">Farmer survey results indicated that up to 60% of the farmers in these villages were willing to change from flood irrigated cotton to alternative irrigation methods and cropping systems.  </w:t>
      </w:r>
    </w:p>
    <w:p w:rsidR="007C681C" w:rsidRDefault="007C681C" w:rsidP="007C681C">
      <w:r>
        <w:t>SWAT simulations were conducted using climatic data for the</w:t>
      </w:r>
      <w:r w:rsidR="00E3201E">
        <w:t xml:space="preserve"> region from 2009</w:t>
      </w:r>
      <w:r>
        <w:t>-2013 along with baseline land use and crop management data obtained through remote sensing and farmer surveys, respectively.  Two scenarios were simulated with SWAT.  The first was a baseline simulation with existing land use and crop management practices that are dominated by flood irrigation of cotton</w:t>
      </w:r>
      <w:r w:rsidR="00E3201E">
        <w:t>, corn and rice</w:t>
      </w:r>
      <w:r>
        <w:t xml:space="preserve">.  The second was an alternative scenario flood irrigated cotton was converted </w:t>
      </w:r>
      <w:r w:rsidR="00E3201E">
        <w:t>to</w:t>
      </w:r>
      <w:r>
        <w:t xml:space="preserve"> drip irrigated </w:t>
      </w:r>
      <w:r w:rsidR="00E3201E">
        <w:t xml:space="preserve">cotton. </w:t>
      </w:r>
    </w:p>
    <w:p w:rsidR="0052694C" w:rsidRDefault="0052694C" w:rsidP="0052694C">
      <w:r>
        <w:t xml:space="preserve">SWAT simulations showed significant reductions in irrigation water demand in the alternative scenario relative to the baseline scenario.  Under baseline flood irrigation of cotton, </w:t>
      </w:r>
      <w:r w:rsidR="00E3201E">
        <w:t>annual irrigation demand was 1,600</w:t>
      </w:r>
      <w:r>
        <w:t xml:space="preserve"> MCM/</w:t>
      </w:r>
      <w:proofErr w:type="spellStart"/>
      <w:r>
        <w:t>yr</w:t>
      </w:r>
      <w:proofErr w:type="spellEnd"/>
      <w:r>
        <w:t xml:space="preserve"> averaged over the 32 year climatic record simulated.  Irrigate</w:t>
      </w:r>
      <w:r w:rsidR="00E3201E">
        <w:t>d demand decreased by 53% to 855</w:t>
      </w:r>
      <w:r>
        <w:t xml:space="preserve"> MCM/</w:t>
      </w:r>
      <w:proofErr w:type="spellStart"/>
      <w:r>
        <w:t>yr</w:t>
      </w:r>
      <w:proofErr w:type="spellEnd"/>
      <w:r>
        <w:t xml:space="preserve"> when </w:t>
      </w:r>
      <w:r w:rsidR="00E3201E">
        <w:t xml:space="preserve">1018 </w:t>
      </w:r>
      <w:proofErr w:type="spellStart"/>
      <w:r w:rsidR="00E3201E">
        <w:t>sq</w:t>
      </w:r>
      <w:proofErr w:type="spellEnd"/>
      <w:r w:rsidR="00E3201E">
        <w:t xml:space="preserve"> km</w:t>
      </w:r>
      <w:r>
        <w:t xml:space="preserve"> of flood irrigated cotton was con</w:t>
      </w:r>
      <w:r w:rsidR="00E3201E">
        <w:t>verted to drip irrigated cotton</w:t>
      </w:r>
      <w:r>
        <w:t xml:space="preserve">.  </w:t>
      </w:r>
      <w:r w:rsidR="00E3201E">
        <w:t>This represents a savings of 74</w:t>
      </w:r>
      <w:r>
        <w:t>5 MCM/</w:t>
      </w:r>
      <w:proofErr w:type="spellStart"/>
      <w:r>
        <w:t>yr</w:t>
      </w:r>
      <w:proofErr w:type="spellEnd"/>
      <w:r>
        <w:t xml:space="preserve"> in water extracted from irrigation canals and groundwater wells.  The water conserved would then be available for other downstream uses, including recharge of wetlands and replenishment of the Aral Sea.  </w:t>
      </w:r>
    </w:p>
    <w:p w:rsidR="0052694C" w:rsidRDefault="00E3201E" w:rsidP="0052694C">
      <w:r>
        <w:t>M</w:t>
      </w:r>
      <w:r w:rsidR="0052694C">
        <w:t>ore efficient irrigation also improved water quality relative to the baseline scenario.  Losses of phosphorus from agricultural fields were reduced slightly by 0.8% in the alternative scenario, relative to baseline losses.  Leaching losses of nitrate-nitrogen from agricultural fields was reduced by 4.6% in the alternative scenario, relative to baseline losses.</w:t>
      </w:r>
    </w:p>
    <w:p w:rsidR="0052694C" w:rsidRDefault="0052694C" w:rsidP="0052694C"/>
    <w:p w:rsidR="0052694C" w:rsidRDefault="0052694C" w:rsidP="007C681C"/>
    <w:p w:rsidR="007C681C" w:rsidRDefault="007C681C" w:rsidP="007C681C"/>
    <w:p w:rsidR="007C681C" w:rsidRDefault="007C681C" w:rsidP="007C681C"/>
    <w:p w:rsidR="007C681C" w:rsidRPr="007C681C" w:rsidRDefault="007C681C" w:rsidP="004D72FD"/>
    <w:sectPr w:rsidR="007C681C" w:rsidRPr="007C681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F694093"/>
    <w:multiLevelType w:val="hybridMultilevel"/>
    <w:tmpl w:val="FE6AC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2714BE1"/>
    <w:multiLevelType w:val="hybridMultilevel"/>
    <w:tmpl w:val="94E0C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56C0FE2"/>
    <w:multiLevelType w:val="hybridMultilevel"/>
    <w:tmpl w:val="0CF69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777E"/>
    <w:rsid w:val="00006090"/>
    <w:rsid w:val="00051C67"/>
    <w:rsid w:val="00052C90"/>
    <w:rsid w:val="000B270A"/>
    <w:rsid w:val="000B42A4"/>
    <w:rsid w:val="000D1F74"/>
    <w:rsid w:val="000E354B"/>
    <w:rsid w:val="000E69CF"/>
    <w:rsid w:val="000F1593"/>
    <w:rsid w:val="001174C1"/>
    <w:rsid w:val="0014370E"/>
    <w:rsid w:val="0017713B"/>
    <w:rsid w:val="001B777E"/>
    <w:rsid w:val="001C09CD"/>
    <w:rsid w:val="001D020F"/>
    <w:rsid w:val="001E7C18"/>
    <w:rsid w:val="0020366B"/>
    <w:rsid w:val="00334486"/>
    <w:rsid w:val="00382551"/>
    <w:rsid w:val="003E304F"/>
    <w:rsid w:val="00407DE0"/>
    <w:rsid w:val="004D72FD"/>
    <w:rsid w:val="0052694C"/>
    <w:rsid w:val="00533889"/>
    <w:rsid w:val="0054533D"/>
    <w:rsid w:val="005C75E3"/>
    <w:rsid w:val="00651A76"/>
    <w:rsid w:val="00671D86"/>
    <w:rsid w:val="006D6353"/>
    <w:rsid w:val="006F1C54"/>
    <w:rsid w:val="00716C4F"/>
    <w:rsid w:val="00735296"/>
    <w:rsid w:val="0074114C"/>
    <w:rsid w:val="00762BE8"/>
    <w:rsid w:val="00795CC6"/>
    <w:rsid w:val="007B7AA6"/>
    <w:rsid w:val="007C681C"/>
    <w:rsid w:val="007F1BF8"/>
    <w:rsid w:val="008772F6"/>
    <w:rsid w:val="008D48F8"/>
    <w:rsid w:val="00902549"/>
    <w:rsid w:val="009B2C9A"/>
    <w:rsid w:val="009C78D0"/>
    <w:rsid w:val="00A841C0"/>
    <w:rsid w:val="00AA1CA4"/>
    <w:rsid w:val="00B133C2"/>
    <w:rsid w:val="00B630B7"/>
    <w:rsid w:val="00BA28FC"/>
    <w:rsid w:val="00CA47BF"/>
    <w:rsid w:val="00CB21FB"/>
    <w:rsid w:val="00CE52AD"/>
    <w:rsid w:val="00E0531D"/>
    <w:rsid w:val="00E2378E"/>
    <w:rsid w:val="00E3201E"/>
    <w:rsid w:val="00EA23EF"/>
    <w:rsid w:val="00EA74BA"/>
    <w:rsid w:val="00F40F8F"/>
    <w:rsid w:val="00FB10CF"/>
    <w:rsid w:val="00FD32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AC8ACFF-50E9-4C41-AD88-1C50D75EA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133C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33C2"/>
    <w:rPr>
      <w:rFonts w:ascii="Tahoma" w:hAnsi="Tahoma" w:cs="Tahoma"/>
      <w:sz w:val="16"/>
      <w:szCs w:val="16"/>
    </w:rPr>
  </w:style>
  <w:style w:type="paragraph" w:styleId="ListParagraph">
    <w:name w:val="List Paragraph"/>
    <w:basedOn w:val="Normal"/>
    <w:uiPriority w:val="34"/>
    <w:qFormat/>
    <w:rsid w:val="00671D8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950593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chart" Target="charts/chart1.xml"/><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chart" Target="charts/chart3.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jpeg"/><Relationship Id="rId5" Type="http://schemas.openxmlformats.org/officeDocument/2006/relationships/image" Target="media/image1.jpeg"/><Relationship Id="rId15" Type="http://schemas.openxmlformats.org/officeDocument/2006/relationships/chart" Target="charts/chart2.xml"/><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jpeg"/></Relationships>
</file>

<file path=word/charts/_rels/chart1.xml.rels><?xml version="1.0" encoding="UTF-8" standalone="yes"?>
<Relationships xmlns="http://schemas.openxmlformats.org/package/2006/relationships"><Relationship Id="rId3" Type="http://schemas.openxmlformats.org/officeDocument/2006/relationships/oleObject" Target="file:///C:\swatprojects\icarda\CARREC\shardara\Scenarios\resul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swatprojects\icarda\CARREC\shardara\Scenarios\results.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swatprojects\icarda\CARREC\shardara\Scenarios\results.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2000" dirty="0" err="1" smtClean="0"/>
              <a:t>Landuse</a:t>
            </a:r>
            <a:r>
              <a:rPr lang="en-US" sz="2000" baseline="0" dirty="0" smtClean="0"/>
              <a:t> distribution</a:t>
            </a:r>
            <a:endParaRPr lang="en-US" sz="2000" dirty="0"/>
          </a:p>
        </c:rich>
      </c:tx>
      <c:layout>
        <c:manualLayout>
          <c:xMode val="edge"/>
          <c:yMode val="edge"/>
          <c:x val="0.61310350629248256"/>
          <c:y val="0.8618283321702721"/>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'baseline81-2013'!$B$1</c:f>
              <c:strCache>
                <c:ptCount val="1"/>
                <c:pt idx="0">
                  <c:v>Area Km2</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dPt>
            <c:idx val="5"/>
            <c:bubble3D val="0"/>
            <c:spPr>
              <a:solidFill>
                <a:schemeClr val="accent6"/>
              </a:solidFill>
              <a:ln w="19050">
                <a:solidFill>
                  <a:schemeClr val="lt1"/>
                </a:solidFill>
              </a:ln>
              <a:effectLst/>
            </c:spPr>
          </c:dPt>
          <c:dPt>
            <c:idx val="6"/>
            <c:bubble3D val="0"/>
            <c:spPr>
              <a:solidFill>
                <a:schemeClr val="accent1">
                  <a:lumMod val="60000"/>
                </a:schemeClr>
              </a:solidFill>
              <a:ln w="19050">
                <a:solidFill>
                  <a:schemeClr val="lt1"/>
                </a:solidFill>
              </a:ln>
              <a:effectLst/>
            </c:spPr>
          </c:dPt>
          <c:dPt>
            <c:idx val="7"/>
            <c:bubble3D val="0"/>
            <c:spPr>
              <a:solidFill>
                <a:schemeClr val="accent2">
                  <a:lumMod val="60000"/>
                </a:schemeClr>
              </a:solidFill>
              <a:ln w="19050">
                <a:solidFill>
                  <a:schemeClr val="lt1"/>
                </a:solidFill>
              </a:ln>
              <a:effectLst/>
            </c:spPr>
          </c:dPt>
          <c:dPt>
            <c:idx val="8"/>
            <c:bubble3D val="0"/>
            <c:spPr>
              <a:solidFill>
                <a:schemeClr val="accent3">
                  <a:lumMod val="60000"/>
                </a:schemeClr>
              </a:solidFill>
              <a:ln w="19050">
                <a:solidFill>
                  <a:schemeClr val="lt1"/>
                </a:solidFill>
              </a:ln>
              <a:effectLst/>
            </c:spPr>
          </c:dPt>
          <c:dPt>
            <c:idx val="9"/>
            <c:bubble3D val="0"/>
            <c:spPr>
              <a:solidFill>
                <a:schemeClr val="accent4">
                  <a:lumMod val="60000"/>
                </a:schemeClr>
              </a:solidFill>
              <a:ln w="19050">
                <a:solidFill>
                  <a:schemeClr val="lt1"/>
                </a:solidFill>
              </a:ln>
              <a:effectLst/>
            </c:spPr>
          </c:dPt>
          <c:dPt>
            <c:idx val="10"/>
            <c:bubble3D val="0"/>
            <c:spPr>
              <a:solidFill>
                <a:schemeClr val="accent5">
                  <a:lumMod val="60000"/>
                </a:schemeClr>
              </a:solidFill>
              <a:ln w="19050">
                <a:solidFill>
                  <a:schemeClr val="lt1"/>
                </a:solidFill>
              </a:ln>
              <a:effectLst/>
            </c:spPr>
          </c:dPt>
          <c:dPt>
            <c:idx val="11"/>
            <c:bubble3D val="0"/>
            <c:spPr>
              <a:solidFill>
                <a:schemeClr val="accent6">
                  <a:lumMod val="60000"/>
                </a:schemeClr>
              </a:solidFill>
              <a:ln w="19050">
                <a:solidFill>
                  <a:schemeClr val="lt1"/>
                </a:solidFill>
              </a:ln>
              <a:effectLst/>
            </c:spPr>
          </c:dPt>
          <c:dPt>
            <c:idx val="12"/>
            <c:bubble3D val="0"/>
            <c:spPr>
              <a:solidFill>
                <a:schemeClr val="accent1">
                  <a:lumMod val="80000"/>
                  <a:lumOff val="20000"/>
                </a:schemeClr>
              </a:solidFill>
              <a:ln w="19050">
                <a:solidFill>
                  <a:schemeClr val="lt1"/>
                </a:solidFill>
              </a:ln>
              <a:effectLst/>
            </c:spPr>
          </c:dPt>
          <c:dPt>
            <c:idx val="13"/>
            <c:bubble3D val="0"/>
            <c:spPr>
              <a:solidFill>
                <a:schemeClr val="accent2">
                  <a:lumMod val="80000"/>
                  <a:lumOff val="20000"/>
                </a:schemeClr>
              </a:solidFill>
              <a:ln w="19050">
                <a:solidFill>
                  <a:schemeClr val="lt1"/>
                </a:solidFill>
              </a:ln>
              <a:effectLst/>
            </c:spPr>
          </c:dPt>
          <c:dPt>
            <c:idx val="14"/>
            <c:bubble3D val="0"/>
            <c:spPr>
              <a:solidFill>
                <a:schemeClr val="accent3">
                  <a:lumMod val="80000"/>
                  <a:lumOff val="20000"/>
                </a:schemeClr>
              </a:solidFill>
              <a:ln w="19050">
                <a:solidFill>
                  <a:schemeClr val="lt1"/>
                </a:solidFill>
              </a:ln>
              <a:effectLst/>
            </c:spPr>
          </c:dPt>
          <c:dPt>
            <c:idx val="15"/>
            <c:bubble3D val="0"/>
            <c:spPr>
              <a:solidFill>
                <a:schemeClr val="accent4">
                  <a:lumMod val="80000"/>
                  <a:lumOff val="20000"/>
                </a:schemeClr>
              </a:solidFill>
              <a:ln w="19050">
                <a:solidFill>
                  <a:schemeClr val="lt1"/>
                </a:solidFill>
              </a:ln>
              <a:effectLst/>
            </c:spPr>
          </c:dPt>
          <c:dPt>
            <c:idx val="16"/>
            <c:bubble3D val="0"/>
            <c:spPr>
              <a:solidFill>
                <a:schemeClr val="accent5">
                  <a:lumMod val="80000"/>
                  <a:lumOff val="20000"/>
                </a:schemeClr>
              </a:solidFill>
              <a:ln w="19050">
                <a:solidFill>
                  <a:schemeClr val="lt1"/>
                </a:solidFill>
              </a:ln>
              <a:effectLst/>
            </c:spPr>
          </c:dPt>
          <c:dPt>
            <c:idx val="17"/>
            <c:bubble3D val="0"/>
            <c:spPr>
              <a:solidFill>
                <a:schemeClr val="accent6">
                  <a:lumMod val="80000"/>
                  <a:lumOff val="20000"/>
                </a:schemeClr>
              </a:solidFill>
              <a:ln w="19050">
                <a:solidFill>
                  <a:schemeClr val="lt1"/>
                </a:solidFill>
              </a:ln>
              <a:effectLst/>
            </c:spPr>
          </c:dPt>
          <c:dLbls>
            <c:dLbl>
              <c:idx val="5"/>
              <c:layout>
                <c:manualLayout>
                  <c:x val="-7.6252723311546838E-2"/>
                  <c:y val="-8.986928104575163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4.357298474945534E-2"/>
                  <c:y val="0"/>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0.11074800290486565"/>
                  <c:y val="2.859477124183004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9"/>
              <c:layout>
                <c:manualLayout>
                  <c:x val="-0.18155410312273057"/>
                  <c:y val="6.944444444444442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1"/>
              <c:layout>
                <c:manualLayout>
                  <c:x val="-0.18881626724763984"/>
                  <c:y val="-4.493464052287582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3"/>
              <c:layout>
                <c:manualLayout>
                  <c:x val="0.14887436456063902"/>
                  <c:y val="-8.986928104575163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5"/>
              <c:layout>
                <c:manualLayout>
                  <c:x val="4.5388525780682643E-2"/>
                  <c:y val="0"/>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7"/>
              <c:layout>
                <c:manualLayout>
                  <c:x val="0.25780682643427744"/>
                  <c:y val="7.761437908496728E-2"/>
                </c:manualLayout>
              </c:layout>
              <c:dLblPos val="bestFit"/>
              <c:showLegendKey val="0"/>
              <c:showVal val="0"/>
              <c:showCatName val="1"/>
              <c:showSerName val="0"/>
              <c:showPercent val="1"/>
              <c:showBubbleSize val="0"/>
              <c:extLst>
                <c:ext xmlns:c15="http://schemas.microsoft.com/office/drawing/2012/chart" uri="{CE6537A1-D6FC-4f65-9D91-7224C49458BB}"/>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'baseline81-2013'!$A$2:$A$19</c:f>
              <c:strCache>
                <c:ptCount val="9"/>
                <c:pt idx="0">
                  <c:v>BARR</c:v>
                </c:pt>
                <c:pt idx="1">
                  <c:v>FESC</c:v>
                </c:pt>
                <c:pt idx="2">
                  <c:v>WPAS</c:v>
                </c:pt>
                <c:pt idx="3">
                  <c:v>RYER</c:v>
                </c:pt>
                <c:pt idx="4">
                  <c:v>WWHT</c:v>
                </c:pt>
                <c:pt idx="5">
                  <c:v>COTS</c:v>
                </c:pt>
                <c:pt idx="6">
                  <c:v>RICE</c:v>
                </c:pt>
                <c:pt idx="7">
                  <c:v>CORN</c:v>
                </c:pt>
                <c:pt idx="8">
                  <c:v>WATR</c:v>
                </c:pt>
              </c:strCache>
            </c:strRef>
          </c:cat>
          <c:val>
            <c:numRef>
              <c:f>'baseline81-2013'!$B$2:$B$19</c:f>
              <c:numCache>
                <c:formatCode>#,##0.00</c:formatCode>
                <c:ptCount val="18"/>
                <c:pt idx="0">
                  <c:v>55064.22</c:v>
                </c:pt>
                <c:pt idx="1">
                  <c:v>33011.49</c:v>
                </c:pt>
                <c:pt idx="2">
                  <c:v>13442.99</c:v>
                </c:pt>
                <c:pt idx="3">
                  <c:v>8067.44</c:v>
                </c:pt>
                <c:pt idx="4">
                  <c:v>3501.8</c:v>
                </c:pt>
                <c:pt idx="5">
                  <c:v>3057.46</c:v>
                </c:pt>
                <c:pt idx="6">
                  <c:v>2014.2</c:v>
                </c:pt>
                <c:pt idx="7">
                  <c:v>1018.67</c:v>
                </c:pt>
                <c:pt idx="8" formatCode="General">
                  <c:v>291</c:v>
                </c:pt>
              </c:numCache>
            </c:numRef>
          </c:val>
        </c:ser>
        <c:dLbls>
          <c:showLegendKey val="0"/>
          <c:showVal val="0"/>
          <c:showCatName val="0"/>
          <c:showSerName val="0"/>
          <c:showPercent val="0"/>
          <c:showBubbleSize val="0"/>
          <c:showLeaderLines val="0"/>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pivotSource>
    <c:name>[results.xlsx]baseline irrigation!PivotTable2</c:name>
    <c:fmtId val="-1"/>
  </c:pivotSource>
  <c:chart>
    <c:title>
      <c:tx>
        <c:rich>
          <a:bodyPr rot="0" spcFirstLastPara="1" vertOverflow="ellipsis" vert="horz" wrap="square" anchor="ctr" anchorCtr="1"/>
          <a:lstStyle/>
          <a:p>
            <a:pPr>
              <a:defRPr sz="2400" b="0" i="0" u="none" strike="noStrike" kern="1200" spc="0" baseline="0">
                <a:solidFill>
                  <a:schemeClr val="tx1">
                    <a:lumMod val="65000"/>
                    <a:lumOff val="35000"/>
                  </a:schemeClr>
                </a:solidFill>
                <a:latin typeface="+mn-lt"/>
                <a:ea typeface="+mn-ea"/>
                <a:cs typeface="+mn-cs"/>
              </a:defRPr>
            </a:pPr>
            <a:r>
              <a:rPr lang="en-US" sz="2400" baseline="0"/>
              <a:t>Irrigation usage in Mm</a:t>
            </a:r>
            <a:r>
              <a:rPr lang="en-US" sz="2400" baseline="30000"/>
              <a:t>3</a:t>
            </a:r>
          </a:p>
        </c:rich>
      </c:tx>
      <c:overlay val="0"/>
      <c:spPr>
        <a:noFill/>
        <a:ln>
          <a:noFill/>
        </a:ln>
        <a:effectLst/>
      </c:spPr>
      <c:txPr>
        <a:bodyPr rot="0" spcFirstLastPara="1" vertOverflow="ellipsis" vert="horz" wrap="square" anchor="ctr" anchorCtr="1"/>
        <a:lstStyle/>
        <a:p>
          <a:pPr>
            <a:defRPr sz="2400" b="0" i="0" u="none" strike="noStrike" kern="1200" spc="0" baseline="0">
              <a:solidFill>
                <a:schemeClr val="tx1">
                  <a:lumMod val="65000"/>
                  <a:lumOff val="35000"/>
                </a:schemeClr>
              </a:solidFill>
              <a:latin typeface="+mn-lt"/>
              <a:ea typeface="+mn-ea"/>
              <a:cs typeface="+mn-cs"/>
            </a:defRPr>
          </a:pPr>
          <a:endParaRPr lang="en-US"/>
        </a:p>
      </c:txPr>
    </c:title>
    <c:autoTitleDeleted val="0"/>
    <c:pivotFmts>
      <c:pivotFmt>
        <c:idx val="0"/>
        <c:spPr>
          <a:solidFill>
            <a:schemeClr val="accent1"/>
          </a:solidFill>
          <a:ln w="28575" cap="rnd">
            <a:solidFill>
              <a:schemeClr val="accent1"/>
            </a:solidFill>
            <a:round/>
          </a:ln>
          <a:effectLst/>
        </c:spPr>
        <c:marker>
          <c:symbol val="none"/>
        </c:marker>
      </c:pivotFmt>
      <c:pivotFmt>
        <c:idx val="1"/>
        <c:spPr>
          <a:solidFill>
            <a:schemeClr val="accent1"/>
          </a:solidFill>
          <a:ln w="28575" cap="rnd">
            <a:solidFill>
              <a:schemeClr val="accent1"/>
            </a:solidFill>
            <a:round/>
          </a:ln>
          <a:effectLst/>
        </c:spPr>
        <c:marker>
          <c:symbol val="none"/>
        </c:marker>
      </c:pivotFmt>
      <c:pivotFmt>
        <c:idx val="2"/>
        <c:spPr>
          <a:solidFill>
            <a:schemeClr val="accent1"/>
          </a:solidFill>
          <a:ln w="28575" cap="rnd">
            <a:solidFill>
              <a:schemeClr val="accent1"/>
            </a:solidFill>
            <a:round/>
          </a:ln>
          <a:effectLst/>
        </c:spPr>
        <c:marker>
          <c:symbol val="none"/>
        </c:marker>
      </c:pivotFmt>
    </c:pivotFmts>
    <c:plotArea>
      <c:layout/>
      <c:lineChart>
        <c:grouping val="standard"/>
        <c:varyColors val="0"/>
        <c:ser>
          <c:idx val="0"/>
          <c:order val="0"/>
          <c:tx>
            <c:strRef>
              <c:f>'baseline irrigation'!$CI$2</c:f>
              <c:strCache>
                <c:ptCount val="1"/>
                <c:pt idx="0">
                  <c:v>Total</c:v>
                </c:pt>
              </c:strCache>
            </c:strRef>
          </c:tx>
          <c:spPr>
            <a:ln w="28575" cap="rnd">
              <a:solidFill>
                <a:srgbClr val="0070C0"/>
              </a:solidFill>
              <a:round/>
            </a:ln>
            <a:effectLst/>
          </c:spPr>
          <c:marker>
            <c:symbol val="none"/>
          </c:marker>
          <c:cat>
            <c:multiLvlStrRef>
              <c:f>'baseline irrigation'!$CH$3:$CH$70</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(blank)</c:v>
                  </c:pt>
                </c:lvl>
                <c:lvl>
                  <c:pt idx="0">
                    <c:v>2009</c:v>
                  </c:pt>
                  <c:pt idx="12">
                    <c:v>2010</c:v>
                  </c:pt>
                  <c:pt idx="24">
                    <c:v>2011</c:v>
                  </c:pt>
                  <c:pt idx="36">
                    <c:v>2012</c:v>
                  </c:pt>
                  <c:pt idx="48">
                    <c:v>2013</c:v>
                  </c:pt>
                  <c:pt idx="60">
                    <c:v>(blank)</c:v>
                  </c:pt>
                </c:lvl>
              </c:multiLvlStrCache>
            </c:multiLvlStrRef>
          </c:cat>
          <c:val>
            <c:numRef>
              <c:f>'baseline irrigation'!$CI$3:$CI$70</c:f>
              <c:numCache>
                <c:formatCode>General</c:formatCode>
                <c:ptCount val="61"/>
                <c:pt idx="0">
                  <c:v>4697680</c:v>
                </c:pt>
                <c:pt idx="1">
                  <c:v>2363600</c:v>
                </c:pt>
                <c:pt idx="2">
                  <c:v>22647294</c:v>
                </c:pt>
                <c:pt idx="3">
                  <c:v>117517276</c:v>
                </c:pt>
                <c:pt idx="4">
                  <c:v>639092446.18000007</c:v>
                </c:pt>
                <c:pt idx="5">
                  <c:v>322077154.80000001</c:v>
                </c:pt>
                <c:pt idx="6">
                  <c:v>673265531.89999998</c:v>
                </c:pt>
                <c:pt idx="7">
                  <c:v>1137156371.8399999</c:v>
                </c:pt>
                <c:pt idx="8">
                  <c:v>502551244.98000002</c:v>
                </c:pt>
                <c:pt idx="9">
                  <c:v>195442657.47999999</c:v>
                </c:pt>
                <c:pt idx="10">
                  <c:v>107555370.13</c:v>
                </c:pt>
                <c:pt idx="11">
                  <c:v>220224326.40000001</c:v>
                </c:pt>
                <c:pt idx="12">
                  <c:v>0</c:v>
                </c:pt>
                <c:pt idx="13">
                  <c:v>2363600</c:v>
                </c:pt>
                <c:pt idx="14">
                  <c:v>2363600</c:v>
                </c:pt>
                <c:pt idx="15">
                  <c:v>331348858.30000001</c:v>
                </c:pt>
                <c:pt idx="16">
                  <c:v>752889304.79999995</c:v>
                </c:pt>
                <c:pt idx="17">
                  <c:v>227677817.59999999</c:v>
                </c:pt>
                <c:pt idx="18">
                  <c:v>768155813.89999998</c:v>
                </c:pt>
                <c:pt idx="19">
                  <c:v>1221512781.0100002</c:v>
                </c:pt>
                <c:pt idx="20">
                  <c:v>644369938.51000011</c:v>
                </c:pt>
                <c:pt idx="21">
                  <c:v>184882241.07999998</c:v>
                </c:pt>
                <c:pt idx="22">
                  <c:v>19782492</c:v>
                </c:pt>
                <c:pt idx="23">
                  <c:v>216208369.66999999</c:v>
                </c:pt>
                <c:pt idx="24">
                  <c:v>345991519.51000005</c:v>
                </c:pt>
                <c:pt idx="25">
                  <c:v>2363600</c:v>
                </c:pt>
                <c:pt idx="26">
                  <c:v>13545010</c:v>
                </c:pt>
                <c:pt idx="27">
                  <c:v>186037608</c:v>
                </c:pt>
                <c:pt idx="28">
                  <c:v>654900748.29999995</c:v>
                </c:pt>
                <c:pt idx="29">
                  <c:v>182957457.16000003</c:v>
                </c:pt>
                <c:pt idx="30">
                  <c:v>872137465.01799989</c:v>
                </c:pt>
                <c:pt idx="31">
                  <c:v>860642896.11099994</c:v>
                </c:pt>
                <c:pt idx="32">
                  <c:v>402154002.15599996</c:v>
                </c:pt>
                <c:pt idx="33">
                  <c:v>144979092.63</c:v>
                </c:pt>
                <c:pt idx="34">
                  <c:v>0</c:v>
                </c:pt>
                <c:pt idx="35">
                  <c:v>0</c:v>
                </c:pt>
                <c:pt idx="36">
                  <c:v>1342590</c:v>
                </c:pt>
                <c:pt idx="37">
                  <c:v>0</c:v>
                </c:pt>
                <c:pt idx="38">
                  <c:v>17260002</c:v>
                </c:pt>
                <c:pt idx="39">
                  <c:v>275640768</c:v>
                </c:pt>
                <c:pt idx="40">
                  <c:v>589402725.70000005</c:v>
                </c:pt>
                <c:pt idx="41">
                  <c:v>277944176.39999998</c:v>
                </c:pt>
                <c:pt idx="42">
                  <c:v>867583591.28999996</c:v>
                </c:pt>
                <c:pt idx="43">
                  <c:v>1073910281.03</c:v>
                </c:pt>
                <c:pt idx="44">
                  <c:v>603806548.31999993</c:v>
                </c:pt>
                <c:pt idx="45">
                  <c:v>231309251.808</c:v>
                </c:pt>
                <c:pt idx="46">
                  <c:v>23586500</c:v>
                </c:pt>
                <c:pt idx="47">
                  <c:v>0</c:v>
                </c:pt>
                <c:pt idx="48">
                  <c:v>2682990</c:v>
                </c:pt>
                <c:pt idx="49">
                  <c:v>24694056</c:v>
                </c:pt>
                <c:pt idx="50">
                  <c:v>9137200</c:v>
                </c:pt>
                <c:pt idx="51">
                  <c:v>179704752.80000001</c:v>
                </c:pt>
                <c:pt idx="52">
                  <c:v>845896550.97179997</c:v>
                </c:pt>
                <c:pt idx="53">
                  <c:v>350101657.59000003</c:v>
                </c:pt>
                <c:pt idx="54">
                  <c:v>639257654.9519999</c:v>
                </c:pt>
                <c:pt idx="55">
                  <c:v>807996939.24000001</c:v>
                </c:pt>
                <c:pt idx="56">
                  <c:v>466971212.86800003</c:v>
                </c:pt>
                <c:pt idx="57">
                  <c:v>198231375.132</c:v>
                </c:pt>
                <c:pt idx="58">
                  <c:v>5750400</c:v>
                </c:pt>
                <c:pt idx="59">
                  <c:v>0</c:v>
                </c:pt>
              </c:numCache>
            </c:numRef>
          </c:val>
          <c:smooth val="0"/>
        </c:ser>
        <c:dLbls>
          <c:showLegendKey val="0"/>
          <c:showVal val="0"/>
          <c:showCatName val="0"/>
          <c:showSerName val="0"/>
          <c:showPercent val="0"/>
          <c:showBubbleSize val="0"/>
        </c:dLbls>
        <c:smooth val="0"/>
        <c:axId val="395827024"/>
        <c:axId val="395827584"/>
      </c:lineChart>
      <c:catAx>
        <c:axId val="395827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5827584"/>
        <c:crosses val="autoZero"/>
        <c:auto val="1"/>
        <c:lblAlgn val="ctr"/>
        <c:lblOffset val="100"/>
        <c:noMultiLvlLbl val="0"/>
      </c:catAx>
      <c:valAx>
        <c:axId val="3958275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5827024"/>
        <c:crosses val="autoZero"/>
        <c:crossBetween val="between"/>
        <c:dispUnits>
          <c:builtInUnit val="millions"/>
          <c:dispUnitsLbl>
            <c:spPr>
              <a:noFill/>
              <a:ln>
                <a:noFill/>
              </a:ln>
              <a:effectLst/>
            </c:spPr>
            <c:txPr>
              <a:bodyPr rot="-5400000" spcFirstLastPara="1" vertOverflow="ellipsis" vert="horz" wrap="square" anchor="ctr" anchorCtr="1"/>
              <a:lstStyle/>
              <a:p>
                <a:pPr>
                  <a:defRPr sz="1800" b="0" i="0" u="none" strike="noStrike" kern="1200" baseline="0">
                    <a:solidFill>
                      <a:schemeClr val="tx1">
                        <a:lumMod val="65000"/>
                        <a:lumOff val="35000"/>
                      </a:schemeClr>
                    </a:solidFill>
                    <a:latin typeface="+mn-lt"/>
                    <a:ea typeface="+mn-ea"/>
                    <a:cs typeface="+mn-cs"/>
                  </a:defRPr>
                </a:pPr>
                <a:endParaRPr lang="en-US"/>
              </a:p>
            </c:txPr>
          </c:dispUnitsLbl>
        </c:dispUnits>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extLst>
    <c:ext xmlns:c14="http://schemas.microsoft.com/office/drawing/2007/8/2/chart" uri="{781A3756-C4B2-4CAC-9D66-4F8BD8637D16}">
      <c14:pivotOptions>
        <c14:dropZoneFilter val="1"/>
        <c14:dropZoneCategories val="1"/>
        <c14:dropZoneData val="1"/>
        <c14:dropZonesVisible val="1"/>
      </c14:pivotOptions>
    </c:ext>
  </c:extLst>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'baseline reach 2'!$AZ$1</c:f>
              <c:strCache>
                <c:ptCount val="1"/>
                <c:pt idx="0">
                  <c:v>TOT_Nkg</c:v>
                </c:pt>
              </c:strCache>
            </c:strRef>
          </c:tx>
          <c:spPr>
            <a:ln w="22225" cap="rnd" cmpd="sng" algn="ctr">
              <a:solidFill>
                <a:srgbClr val="C00000"/>
              </a:solidFill>
              <a:round/>
            </a:ln>
            <a:effectLst/>
          </c:spPr>
          <c:marker>
            <c:symbol val="none"/>
          </c:marker>
          <c:cat>
            <c:numRef>
              <c:f>'baseline reach 2'!$BC$2:$BC$61</c:f>
              <c:numCache>
                <c:formatCode>General</c:formatCode>
                <c:ptCount val="60"/>
                <c:pt idx="0">
                  <c:v>1.6666666666666666E-2</c:v>
                </c:pt>
                <c:pt idx="1">
                  <c:v>3.3333333333333333E-2</c:v>
                </c:pt>
                <c:pt idx="2">
                  <c:v>0.05</c:v>
                </c:pt>
                <c:pt idx="3">
                  <c:v>6.6666666666666666E-2</c:v>
                </c:pt>
                <c:pt idx="4">
                  <c:v>8.3333333333333329E-2</c:v>
                </c:pt>
                <c:pt idx="5">
                  <c:v>0.1</c:v>
                </c:pt>
                <c:pt idx="6">
                  <c:v>0.11666666666666667</c:v>
                </c:pt>
                <c:pt idx="7">
                  <c:v>0.13333333333333333</c:v>
                </c:pt>
                <c:pt idx="8">
                  <c:v>0.15</c:v>
                </c:pt>
                <c:pt idx="9">
                  <c:v>0.16666666666666666</c:v>
                </c:pt>
                <c:pt idx="10">
                  <c:v>0.18333333333333332</c:v>
                </c:pt>
                <c:pt idx="11">
                  <c:v>0.2</c:v>
                </c:pt>
                <c:pt idx="12">
                  <c:v>0.21666666666666667</c:v>
                </c:pt>
                <c:pt idx="13">
                  <c:v>0.23333333333333334</c:v>
                </c:pt>
                <c:pt idx="14">
                  <c:v>0.25</c:v>
                </c:pt>
                <c:pt idx="15">
                  <c:v>0.26666666666666666</c:v>
                </c:pt>
                <c:pt idx="16">
                  <c:v>0.28333333333333333</c:v>
                </c:pt>
                <c:pt idx="17">
                  <c:v>0.3</c:v>
                </c:pt>
                <c:pt idx="18">
                  <c:v>0.31666666666666665</c:v>
                </c:pt>
                <c:pt idx="19">
                  <c:v>0.33333333333333331</c:v>
                </c:pt>
                <c:pt idx="20">
                  <c:v>0.35</c:v>
                </c:pt>
                <c:pt idx="21">
                  <c:v>0.36666666666666664</c:v>
                </c:pt>
                <c:pt idx="22">
                  <c:v>0.38333333333333336</c:v>
                </c:pt>
                <c:pt idx="23">
                  <c:v>0.4</c:v>
                </c:pt>
                <c:pt idx="24">
                  <c:v>0.41666666666666669</c:v>
                </c:pt>
                <c:pt idx="25">
                  <c:v>0.43333333333333335</c:v>
                </c:pt>
                <c:pt idx="26">
                  <c:v>0.45</c:v>
                </c:pt>
                <c:pt idx="27">
                  <c:v>0.46666666666666667</c:v>
                </c:pt>
                <c:pt idx="28">
                  <c:v>0.48333333333333334</c:v>
                </c:pt>
                <c:pt idx="29">
                  <c:v>0.5</c:v>
                </c:pt>
                <c:pt idx="30">
                  <c:v>0.51666666666666672</c:v>
                </c:pt>
                <c:pt idx="31">
                  <c:v>0.53333333333333333</c:v>
                </c:pt>
                <c:pt idx="32">
                  <c:v>0.55000000000000004</c:v>
                </c:pt>
                <c:pt idx="33">
                  <c:v>0.56666666666666665</c:v>
                </c:pt>
                <c:pt idx="34">
                  <c:v>0.58333333333333337</c:v>
                </c:pt>
                <c:pt idx="35">
                  <c:v>0.6</c:v>
                </c:pt>
                <c:pt idx="36">
                  <c:v>0.6166666666666667</c:v>
                </c:pt>
                <c:pt idx="37">
                  <c:v>0.6333333333333333</c:v>
                </c:pt>
                <c:pt idx="38">
                  <c:v>0.65</c:v>
                </c:pt>
                <c:pt idx="39">
                  <c:v>0.66666666666666663</c:v>
                </c:pt>
                <c:pt idx="40">
                  <c:v>0.68333333333333335</c:v>
                </c:pt>
                <c:pt idx="41">
                  <c:v>0.7</c:v>
                </c:pt>
                <c:pt idx="42">
                  <c:v>0.71666666666666667</c:v>
                </c:pt>
                <c:pt idx="43">
                  <c:v>0.73333333333333328</c:v>
                </c:pt>
                <c:pt idx="44">
                  <c:v>0.75</c:v>
                </c:pt>
                <c:pt idx="45">
                  <c:v>0.76666666666666672</c:v>
                </c:pt>
                <c:pt idx="46">
                  <c:v>0.78333333333333333</c:v>
                </c:pt>
                <c:pt idx="47">
                  <c:v>0.8</c:v>
                </c:pt>
                <c:pt idx="48">
                  <c:v>0.81666666666666665</c:v>
                </c:pt>
                <c:pt idx="49">
                  <c:v>0.83333333333333337</c:v>
                </c:pt>
                <c:pt idx="50">
                  <c:v>0.85</c:v>
                </c:pt>
                <c:pt idx="51">
                  <c:v>0.8666666666666667</c:v>
                </c:pt>
                <c:pt idx="52">
                  <c:v>0.8833333333333333</c:v>
                </c:pt>
                <c:pt idx="53">
                  <c:v>0.9</c:v>
                </c:pt>
                <c:pt idx="54">
                  <c:v>0.91666666666666663</c:v>
                </c:pt>
                <c:pt idx="55">
                  <c:v>0.93333333333333335</c:v>
                </c:pt>
                <c:pt idx="56">
                  <c:v>0.95</c:v>
                </c:pt>
                <c:pt idx="57">
                  <c:v>0.96666666666666667</c:v>
                </c:pt>
                <c:pt idx="58">
                  <c:v>0.98333333333333328</c:v>
                </c:pt>
                <c:pt idx="59">
                  <c:v>1</c:v>
                </c:pt>
              </c:numCache>
            </c:numRef>
          </c:cat>
          <c:val>
            <c:numRef>
              <c:f>'baseline reach 2'!$AZ$2:$AZ$61</c:f>
              <c:numCache>
                <c:formatCode>General</c:formatCode>
                <c:ptCount val="60"/>
                <c:pt idx="0">
                  <c:v>32870000</c:v>
                </c:pt>
                <c:pt idx="1">
                  <c:v>31340000</c:v>
                </c:pt>
                <c:pt idx="2">
                  <c:v>23180000</c:v>
                </c:pt>
                <c:pt idx="3">
                  <c:v>17730000</c:v>
                </c:pt>
                <c:pt idx="4">
                  <c:v>16770000</c:v>
                </c:pt>
                <c:pt idx="5">
                  <c:v>15190000</c:v>
                </c:pt>
                <c:pt idx="6">
                  <c:v>13600000</c:v>
                </c:pt>
                <c:pt idx="7">
                  <c:v>13600000</c:v>
                </c:pt>
                <c:pt idx="8">
                  <c:v>10230000</c:v>
                </c:pt>
                <c:pt idx="9">
                  <c:v>8490000</c:v>
                </c:pt>
                <c:pt idx="10">
                  <c:v>7503000</c:v>
                </c:pt>
                <c:pt idx="11">
                  <c:v>6053000</c:v>
                </c:pt>
                <c:pt idx="12">
                  <c:v>5460000</c:v>
                </c:pt>
                <c:pt idx="13">
                  <c:v>5074000</c:v>
                </c:pt>
                <c:pt idx="14">
                  <c:v>4626000</c:v>
                </c:pt>
                <c:pt idx="15">
                  <c:v>3804000</c:v>
                </c:pt>
                <c:pt idx="16">
                  <c:v>3208000</c:v>
                </c:pt>
                <c:pt idx="17">
                  <c:v>3145000</c:v>
                </c:pt>
                <c:pt idx="18">
                  <c:v>2953000</c:v>
                </c:pt>
                <c:pt idx="19">
                  <c:v>2823000</c:v>
                </c:pt>
                <c:pt idx="20">
                  <c:v>2540000</c:v>
                </c:pt>
                <c:pt idx="21">
                  <c:v>2257000</c:v>
                </c:pt>
                <c:pt idx="22">
                  <c:v>2061000</c:v>
                </c:pt>
                <c:pt idx="23">
                  <c:v>1801000</c:v>
                </c:pt>
                <c:pt idx="24">
                  <c:v>1756000</c:v>
                </c:pt>
                <c:pt idx="25">
                  <c:v>1484000</c:v>
                </c:pt>
                <c:pt idx="26">
                  <c:v>1287000</c:v>
                </c:pt>
                <c:pt idx="27">
                  <c:v>1179000</c:v>
                </c:pt>
                <c:pt idx="28">
                  <c:v>1023000</c:v>
                </c:pt>
                <c:pt idx="29">
                  <c:v>859000</c:v>
                </c:pt>
                <c:pt idx="30">
                  <c:v>556600</c:v>
                </c:pt>
                <c:pt idx="31">
                  <c:v>541400</c:v>
                </c:pt>
                <c:pt idx="32">
                  <c:v>487200</c:v>
                </c:pt>
                <c:pt idx="33">
                  <c:v>458400</c:v>
                </c:pt>
                <c:pt idx="34">
                  <c:v>384600</c:v>
                </c:pt>
                <c:pt idx="35">
                  <c:v>337000</c:v>
                </c:pt>
                <c:pt idx="36">
                  <c:v>317400</c:v>
                </c:pt>
                <c:pt idx="37">
                  <c:v>312000</c:v>
                </c:pt>
                <c:pt idx="38">
                  <c:v>311800</c:v>
                </c:pt>
                <c:pt idx="39">
                  <c:v>216900</c:v>
                </c:pt>
                <c:pt idx="40">
                  <c:v>172200</c:v>
                </c:pt>
                <c:pt idx="41">
                  <c:v>88800</c:v>
                </c:pt>
                <c:pt idx="42">
                  <c:v>83270</c:v>
                </c:pt>
                <c:pt idx="43">
                  <c:v>70270</c:v>
                </c:pt>
                <c:pt idx="44">
                  <c:v>50360</c:v>
                </c:pt>
                <c:pt idx="45">
                  <c:v>42340</c:v>
                </c:pt>
                <c:pt idx="46">
                  <c:v>31250</c:v>
                </c:pt>
                <c:pt idx="47">
                  <c:v>23810</c:v>
                </c:pt>
                <c:pt idx="48">
                  <c:v>8391</c:v>
                </c:pt>
                <c:pt idx="49">
                  <c:v>5312</c:v>
                </c:pt>
                <c:pt idx="50">
                  <c:v>4472</c:v>
                </c:pt>
                <c:pt idx="51">
                  <c:v>3089</c:v>
                </c:pt>
                <c:pt idx="52">
                  <c:v>2594</c:v>
                </c:pt>
                <c:pt idx="53">
                  <c:v>24.51</c:v>
                </c:pt>
                <c:pt idx="54">
                  <c:v>0</c:v>
                </c:pt>
                <c:pt idx="55">
                  <c:v>0</c:v>
                </c:pt>
                <c:pt idx="56">
                  <c:v>0</c:v>
                </c:pt>
                <c:pt idx="57">
                  <c:v>0</c:v>
                </c:pt>
                <c:pt idx="58">
                  <c:v>0</c:v>
                </c:pt>
                <c:pt idx="59">
                  <c:v>0</c:v>
                </c:pt>
              </c:numCache>
            </c:numRef>
          </c:val>
          <c:smooth val="0"/>
        </c:ser>
        <c:ser>
          <c:idx val="1"/>
          <c:order val="1"/>
          <c:tx>
            <c:strRef>
              <c:f>'baseline reach 2'!$BA$1</c:f>
              <c:strCache>
                <c:ptCount val="1"/>
                <c:pt idx="0">
                  <c:v>TOT_Pkg</c:v>
                </c:pt>
              </c:strCache>
            </c:strRef>
          </c:tx>
          <c:spPr>
            <a:ln w="22225" cap="rnd" cmpd="sng" algn="ctr">
              <a:solidFill>
                <a:srgbClr val="FFC000"/>
              </a:solidFill>
              <a:round/>
            </a:ln>
            <a:effectLst/>
          </c:spPr>
          <c:marker>
            <c:symbol val="none"/>
          </c:marker>
          <c:val>
            <c:numRef>
              <c:f>'baseline reach 2'!$BA$2:$BA$61</c:f>
              <c:numCache>
                <c:formatCode>General</c:formatCode>
                <c:ptCount val="60"/>
                <c:pt idx="0">
                  <c:v>13660000</c:v>
                </c:pt>
                <c:pt idx="1">
                  <c:v>12000000</c:v>
                </c:pt>
                <c:pt idx="2">
                  <c:v>10460000</c:v>
                </c:pt>
                <c:pt idx="3">
                  <c:v>6941000</c:v>
                </c:pt>
                <c:pt idx="4">
                  <c:v>6809000</c:v>
                </c:pt>
                <c:pt idx="5">
                  <c:v>6091000</c:v>
                </c:pt>
                <c:pt idx="6">
                  <c:v>5696000</c:v>
                </c:pt>
                <c:pt idx="7">
                  <c:v>4846000</c:v>
                </c:pt>
                <c:pt idx="8">
                  <c:v>4186000</c:v>
                </c:pt>
                <c:pt idx="9">
                  <c:v>3703000</c:v>
                </c:pt>
                <c:pt idx="10">
                  <c:v>3679000</c:v>
                </c:pt>
                <c:pt idx="11">
                  <c:v>2337000</c:v>
                </c:pt>
                <c:pt idx="12">
                  <c:v>2251000</c:v>
                </c:pt>
                <c:pt idx="13">
                  <c:v>2151000</c:v>
                </c:pt>
                <c:pt idx="14">
                  <c:v>2022000</c:v>
                </c:pt>
                <c:pt idx="15">
                  <c:v>1433000</c:v>
                </c:pt>
                <c:pt idx="16">
                  <c:v>1338000</c:v>
                </c:pt>
                <c:pt idx="17">
                  <c:v>1309000</c:v>
                </c:pt>
                <c:pt idx="18">
                  <c:v>1284000</c:v>
                </c:pt>
                <c:pt idx="19">
                  <c:v>1257000</c:v>
                </c:pt>
                <c:pt idx="20">
                  <c:v>1227000</c:v>
                </c:pt>
                <c:pt idx="21">
                  <c:v>1081000</c:v>
                </c:pt>
                <c:pt idx="22">
                  <c:v>922200</c:v>
                </c:pt>
                <c:pt idx="23">
                  <c:v>809700</c:v>
                </c:pt>
                <c:pt idx="24">
                  <c:v>728100</c:v>
                </c:pt>
                <c:pt idx="25">
                  <c:v>654100</c:v>
                </c:pt>
                <c:pt idx="26">
                  <c:v>491800</c:v>
                </c:pt>
                <c:pt idx="27">
                  <c:v>484900</c:v>
                </c:pt>
                <c:pt idx="28">
                  <c:v>462900</c:v>
                </c:pt>
                <c:pt idx="29">
                  <c:v>314700</c:v>
                </c:pt>
                <c:pt idx="30">
                  <c:v>227300</c:v>
                </c:pt>
                <c:pt idx="31">
                  <c:v>196700</c:v>
                </c:pt>
                <c:pt idx="32">
                  <c:v>196200</c:v>
                </c:pt>
                <c:pt idx="33">
                  <c:v>160900</c:v>
                </c:pt>
                <c:pt idx="34">
                  <c:v>157400</c:v>
                </c:pt>
                <c:pt idx="35">
                  <c:v>137000</c:v>
                </c:pt>
                <c:pt idx="36">
                  <c:v>118200</c:v>
                </c:pt>
                <c:pt idx="37">
                  <c:v>114300</c:v>
                </c:pt>
                <c:pt idx="38">
                  <c:v>103500</c:v>
                </c:pt>
                <c:pt idx="39">
                  <c:v>77250</c:v>
                </c:pt>
                <c:pt idx="40">
                  <c:v>74370</c:v>
                </c:pt>
                <c:pt idx="41">
                  <c:v>13730</c:v>
                </c:pt>
                <c:pt idx="42">
                  <c:v>13450</c:v>
                </c:pt>
                <c:pt idx="43">
                  <c:v>10520</c:v>
                </c:pt>
                <c:pt idx="44">
                  <c:v>8676</c:v>
                </c:pt>
                <c:pt idx="45">
                  <c:v>8561</c:v>
                </c:pt>
                <c:pt idx="46">
                  <c:v>6771</c:v>
                </c:pt>
                <c:pt idx="47">
                  <c:v>4409</c:v>
                </c:pt>
                <c:pt idx="48">
                  <c:v>870.7</c:v>
                </c:pt>
                <c:pt idx="49">
                  <c:v>473.2</c:v>
                </c:pt>
                <c:pt idx="50">
                  <c:v>464</c:v>
                </c:pt>
                <c:pt idx="51">
                  <c:v>431.9</c:v>
                </c:pt>
                <c:pt idx="52">
                  <c:v>388.2</c:v>
                </c:pt>
                <c:pt idx="53">
                  <c:v>2.0960000000000001</c:v>
                </c:pt>
                <c:pt idx="54">
                  <c:v>0</c:v>
                </c:pt>
                <c:pt idx="55">
                  <c:v>0</c:v>
                </c:pt>
                <c:pt idx="56">
                  <c:v>0</c:v>
                </c:pt>
                <c:pt idx="57">
                  <c:v>0</c:v>
                </c:pt>
                <c:pt idx="58">
                  <c:v>0</c:v>
                </c:pt>
                <c:pt idx="59">
                  <c:v>0</c:v>
                </c:pt>
              </c:numCache>
            </c:numRef>
          </c:val>
          <c:smooth val="0"/>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394843744"/>
        <c:axId val="394844304"/>
      </c:lineChart>
      <c:catAx>
        <c:axId val="394843744"/>
        <c:scaling>
          <c:orientation val="minMax"/>
        </c:scaling>
        <c:delete val="0"/>
        <c:axPos val="b"/>
        <c:numFmt formatCode="0.00%" sourceLinked="0"/>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spc="20" baseline="0">
                <a:solidFill>
                  <a:schemeClr val="dk1">
                    <a:lumMod val="65000"/>
                    <a:lumOff val="35000"/>
                  </a:schemeClr>
                </a:solidFill>
                <a:latin typeface="+mn-lt"/>
                <a:ea typeface="+mn-ea"/>
                <a:cs typeface="+mn-cs"/>
              </a:defRPr>
            </a:pPr>
            <a:endParaRPr lang="en-US"/>
          </a:p>
        </c:txPr>
        <c:crossAx val="394844304"/>
        <c:crosses val="autoZero"/>
        <c:auto val="1"/>
        <c:lblAlgn val="ctr"/>
        <c:lblOffset val="100"/>
        <c:noMultiLvlLbl val="0"/>
      </c:catAx>
      <c:valAx>
        <c:axId val="394844304"/>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spc="20" baseline="0">
                <a:solidFill>
                  <a:schemeClr val="dk1">
                    <a:lumMod val="65000"/>
                    <a:lumOff val="35000"/>
                  </a:schemeClr>
                </a:solidFill>
                <a:latin typeface="+mn-lt"/>
                <a:ea typeface="+mn-ea"/>
                <a:cs typeface="+mn-cs"/>
              </a:defRPr>
            </a:pPr>
            <a:endParaRPr lang="en-US"/>
          </a:p>
        </c:txPr>
        <c:crossAx val="394843744"/>
        <c:crosses val="autoZero"/>
        <c:crossBetween val="between"/>
        <c:dispUnits>
          <c:builtInUnit val="millions"/>
          <c:dispUnitsLbl>
            <c:spPr>
              <a:noFill/>
              <a:ln>
                <a:noFill/>
              </a:ln>
              <a:effectLst/>
            </c:spPr>
            <c:txPr>
              <a:bodyPr rot="-5400000" spcFirstLastPara="1" vertOverflow="ellipsis" vert="horz" wrap="square" anchor="ctr" anchorCtr="1"/>
              <a:lstStyle/>
              <a:p>
                <a:pPr>
                  <a:defRPr sz="900" b="0" i="0" u="none" strike="noStrike" kern="1200" cap="all" baseline="0">
                    <a:solidFill>
                      <a:schemeClr val="dk1">
                        <a:lumMod val="65000"/>
                        <a:lumOff val="35000"/>
                      </a:schemeClr>
                    </a:solidFill>
                    <a:latin typeface="+mn-lt"/>
                    <a:ea typeface="+mn-ea"/>
                    <a:cs typeface="+mn-cs"/>
                  </a:defRPr>
                </a:pPr>
                <a:endParaRPr lang="en-US"/>
              </a:p>
            </c:txPr>
          </c:dispUnitsLbl>
        </c:dispUnits>
      </c:valAx>
      <c:spPr>
        <a:gradFill>
          <a:gsLst>
            <a:gs pos="100000">
              <a:schemeClr val="lt1">
                <a:lumMod val="95000"/>
              </a:schemeClr>
            </a:gs>
            <a:gs pos="0">
              <a:schemeClr val="lt1"/>
            </a:gs>
          </a:gsLst>
          <a:lin ang="5400000" scaled="0"/>
        </a:gradFill>
        <a:ln>
          <a:noFill/>
        </a:ln>
        <a:effectLst/>
      </c:spPr>
    </c:plotArea>
    <c:legend>
      <c:legendPos val="b"/>
      <c:layout>
        <c:manualLayout>
          <c:xMode val="edge"/>
          <c:yMode val="edge"/>
          <c:x val="0.42271445808852309"/>
          <c:y val="0.1515623373476116"/>
          <c:w val="0.51641456896903426"/>
          <c:h val="7.4251851062252808E-2"/>
        </c:manualLayout>
      </c:layout>
      <c:overlay val="0"/>
      <c:spPr>
        <a:noFill/>
        <a:ln>
          <a:noFill/>
        </a:ln>
        <a:effectLst/>
      </c:spPr>
      <c:txPr>
        <a:bodyPr rot="0" spcFirstLastPara="1" vertOverflow="ellipsis" vert="horz" wrap="square" anchor="ctr" anchorCtr="1"/>
        <a:lstStyle/>
        <a:p>
          <a:pPr>
            <a:defRPr sz="2000" b="0" i="0" u="none" strike="noStrike" kern="1200" baseline="0">
              <a:solidFill>
                <a:schemeClr val="dk1">
                  <a:lumMod val="65000"/>
                  <a:lumOff val="35000"/>
                </a:schemeClr>
              </a:solidFill>
              <a:latin typeface="+mn-lt"/>
              <a:ea typeface="+mn-ea"/>
              <a:cs typeface="+mn-cs"/>
            </a:defRPr>
          </a:pPr>
          <a:endParaRPr lang="en-US"/>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49</TotalTime>
  <Pages>11</Pages>
  <Words>2093</Words>
  <Characters>11934</Characters>
  <Application>Microsoft Office Word</Application>
  <DocSecurity>0</DocSecurity>
  <Lines>99</Lines>
  <Paragraphs>27</Paragraphs>
  <ScaleCrop>false</ScaleCrop>
  <HeadingPairs>
    <vt:vector size="2" baseType="variant">
      <vt:variant>
        <vt:lpstr>Title</vt:lpstr>
      </vt:variant>
      <vt:variant>
        <vt:i4>1</vt:i4>
      </vt:variant>
    </vt:vector>
  </HeadingPairs>
  <TitlesOfParts>
    <vt:vector size="1" baseType="lpstr">
      <vt:lpstr/>
    </vt:vector>
  </TitlesOfParts>
  <Company>University of Minnesota</Company>
  <LinksUpToDate>false</LinksUpToDate>
  <CharactersWithSpaces>14000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Nangia, Vinay (ICARDA)</cp:lastModifiedBy>
  <cp:revision>6</cp:revision>
  <dcterms:created xsi:type="dcterms:W3CDTF">2015-12-14T13:58:00Z</dcterms:created>
  <dcterms:modified xsi:type="dcterms:W3CDTF">2015-12-14T14:47:00Z</dcterms:modified>
</cp:coreProperties>
</file>